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Replication and Extension</w:t>
      </w:r>
    </w:p>
    <w:p>
      <w:pPr>
        <w:pStyle w:val="Heading1"/>
      </w:pPr>
      <w:r>
        <w:t>2. Replication</w:t>
      </w:r>
    </w:p>
    <w:p>
      <w:r>
        <w:t>Duflo, Hanna, and Ryan (2012) study whether camera monitoring and attendance-linked pay reduce teacher absenteeism and improve learning. They find about a 21-percentage-point reduction in teacher absence and a 0.17-standard-deviation gain in test scores. They run a field experiment with educational centers run by Seva Mandir in rural Udaipur, Rajasthan (Duflo, Hanna, and Ryan 2012). In these centers, which I will refer to as schools following the practice in Duflo, Hanna, and Ryan (2012), children learn basic Hindi and other things to prepare them for enrolling in government schools. Schools typically have a single teacher, so are closed when the teacher is not present. Duflo, Hanna, and Ryan (2012) randomize schools to a package of camera monitoring and attendance-linked pay; the treatment began in September 2003. I focus on results through February 2006, which was used to produce the two tables that I replicate; however, as of October 2009 the program was still active.¹</w:t>
      </w:r>
    </w:p>
    <w:p>
      <w:r>
        <w:t>Duflo, Hanna, and Ryan (2012) randomize 120 schools, seven of which were excluded from the analysis following randomization but before the intervention was announced to schools, leaving 57 treatment and 56 control schools. In treatment schools, teachers and children were photographed at the beginning and end of each school day; researchers measured attendance through surprise visits in both treatment and control schools. Treatment schools' teachers were compensated based in part on attendance as indicated in the photos; control schools' teachers continued to receive a fixed wage.</w:t>
      </w:r>
    </w:p>
    <w:p>
      <w:r>
        <w:t>Using data shared by Duflo, Hanna, and Ryan (2019) in a replication package (E112523V1), which consists of Stata files, I replicate the pooled all-teacher result in the paper’s original Table 2, Panel A, and all three departure rows in its Table 10,² and recreate these results and an extension (described below) in Python. Software and reproduction details appear in Appendix D. After completing this replication, I add the extension described below.</w:t>
      </w:r>
    </w:p>
    <w:p>
      <w:r>
        <w:t>In the original Table 2, Panel A, the sample consists of 3,071 random visits to 113 schools. Duflo, Hanna, and Ryan (2012) estimate a regression of whether the school was open on a constant and treatment status and report standard errors clustered by school. To construct the data, I exclude a baseline period before treatment was announced, continue to exclude the same schools as Duflo, Hanna, and Ryan (2012), and categorize the data collected in late August as belonging to the intervention period of September 2003–February 2006.</w:t>
      </w:r>
    </w:p>
    <w:p>
      <w:r>
        <w:t>I match the pooled result in the original Table 2, Panel A, of Duflo, Hanna, and Ryan (2012). In my reconstruction, schools were open in 78.7% of visits in treatment schools and 58.0% of visits in control schools. The estimated treatment effect, with SEs clustered at the school level in parentheses, is 0.207 (0.030). Rounding to match precision in the published table, I match these published values. Expressed in percentage points, the 95% confidence interval is [14.9, 26.6]. Table 1 reports both the attendance and departure replications.</w:t>
      </w:r>
    </w:p>
    <w:p>
      <w:r>
        <w:t>In Table 10 of Duflo, Hanna, and Ryan (2012), the sample consists of 2,197 children in 111 schools. I match the results in Table 10, which includes regressions of departure indicators on a constant and treatment status and reports standard errors clustered by school. I use the algorithm in Duflo, Hanna, and Ryan (2012): for a given child, first select the latest up to five times they were checked when the school was open, from last to first. Next, recode whether or not they attended in those selected instances, and sum up these recodes. If the result is 0, then this child is classified as having departed under this rule. A child for which this is not true did not necessarily continue; this method of aggregation does not tell us that. The dependent variables are (1) recorded departure, (2) a government-school marker among recorded departures, and (3) residual departure, equal to recorded departure minus the marker.</w:t>
      </w:r>
    </w:p>
    <w:p>
      <w:r>
        <w:t>I recreate this data on departure from the two raw data files. I merge these roster files on to school random checks using school id and visit date, and on to child enrollment and baseline writing records using school id × child id. To determine departure, I follow the procedure above. Some attendance codes lack documented meanings, and the reason fields differ in type. I follow the attendance recodes in Duflo, Hanna, and Ryan (2012) as well as their procedure for appending reason variables. In many instances the reason is blank; a blank does not itself classify a child as departed or supply a government-school marker. The marker equals one for a child classified as departed with reason “2” in at least one selected record. I divide departure up into an indicator for the recorded government-school marker and an indicator for residual departure; these two outcomes sum to departure in my calculations. I chose the names of these categories carefully; the first is only a marker for whether the selected records contain a government-school reason marker, and not having this marker does not necessarily indicate leaving education. Appendix B describes this data more fully and discusses some inconsistencies between the numeric version of reasons children leave and a text version of these reasons.</w:t>
      </w:r>
    </w:p>
    <w:p>
      <w:r>
        <w:t>At the reported level of precision, I match the coefficients and SEs in the original Table 10. Assignment to the bundled program causes a statistically significant 8.4-percentage-point increase in recorded departure (SE 4.1 points, p = .044), and a 10.1-percentage-point increase in the government-school marker (SE 3.5 points).</w:t>
      </w:r>
    </w:p>
    <w:p>
      <w:r>
        <w:t>I next replicate the measure used in the original article. I find a −1.8-percentage-point change in residual departure (SE 3.1 points, p = .564). This calculation matches the child-level departure indicators provided in the replication package.</w:t>
      </w:r>
    </w:p>
    <w:p>
      <w:pPr>
        <w:pStyle w:val="Caption"/>
      </w:pPr>
      <w:r>
        <w:rPr>
          <w:b/>
        </w:rPr>
        <w:t>Table 1 Replication of original Table 2 Panel A and Table 10</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21"/>
        <w:gridCol w:w="1134"/>
        <w:gridCol w:w="2098"/>
        <w:gridCol w:w="2098"/>
        <w:gridCol w:w="1361"/>
      </w:tblGrid>
      <w:tr>
        <w:trPr>
          <w:cantSplit/>
          <w:tblHeader/>
        </w:trPr>
        <w:tc>
          <w:tcPr>
            <w:tcW w:type="dxa" w:w="2721"/>
            <w:vAlign w:val="center"/>
            <w:tcMar>
              <w:top w:w="75" w:type="dxa"/>
              <w:bottom w:w="75" w:type="dxa"/>
              <w:left w:w="65" w:type="dxa"/>
              <w:right w:w="65" w:type="dxa"/>
            </w:tcMar>
            <w:shd w:fill="ECECEC"/>
          </w:tcPr>
          <w:p>
            <w:pPr>
              <w:keepNext/>
              <w:spacing w:line="264" w:lineRule="auto" w:after="20"/>
              <w:jc w:val="left"/>
            </w:pPr>
            <w:r>
              <w:rPr>
                <w:rFonts w:ascii="Times New Roman" w:hAnsi="Times New Roman"/>
                <w:b/>
                <w:sz w:val="24"/>
              </w:rPr>
              <w:t>Outcome</w:t>
            </w:r>
          </w:p>
        </w:tc>
        <w:tc>
          <w:tcPr>
            <w:tcW w:type="dxa" w:w="1134"/>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Original table</w:t>
            </w:r>
          </w:p>
        </w:tc>
        <w:tc>
          <w:tcPr>
            <w:tcW w:type="dxa" w:w="2098"/>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Published effect (SE)</w:t>
            </w:r>
          </w:p>
        </w:tc>
        <w:tc>
          <w:tcPr>
            <w:tcW w:type="dxa" w:w="2098"/>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Replicated effect (SE)</w:t>
            </w:r>
          </w:p>
        </w:tc>
        <w:tc>
          <w:tcPr>
            <w:tcW w:type="dxa" w:w="1361"/>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N</w:t>
            </w:r>
          </w:p>
        </w:tc>
      </w:tr>
      <w:tr>
        <w:trPr>
          <w:cantSplit/>
        </w:trPr>
        <w:tc>
          <w:tcPr>
            <w:tcW w:type="dxa" w:w="2721"/>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School open</w:t>
            </w:r>
          </w:p>
        </w:tc>
        <w:tc>
          <w:tcPr>
            <w:tcW w:type="dxa" w:w="113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2 Panel A</w:t>
            </w:r>
          </w:p>
        </w:tc>
        <w:tc>
          <w:tcPr>
            <w:tcW w:type="dxa" w:w="209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0.21 (0.03)</w:t>
            </w:r>
          </w:p>
        </w:tc>
        <w:tc>
          <w:tcPr>
            <w:tcW w:type="dxa" w:w="209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0.207 (0.030)</w:t>
            </w:r>
          </w:p>
        </w:tc>
        <w:tc>
          <w:tcPr>
            <w:tcW w:type="dxa" w:w="1361"/>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3,071</w:t>
            </w:r>
          </w:p>
        </w:tc>
      </w:tr>
      <w:tr>
        <w:trPr>
          <w:cantSplit/>
        </w:trPr>
        <w:tc>
          <w:tcPr>
            <w:tcW w:type="dxa" w:w="2721"/>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Recorded departure</w:t>
            </w:r>
          </w:p>
        </w:tc>
        <w:tc>
          <w:tcPr>
            <w:tcW w:type="dxa" w:w="113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10</w:t>
            </w:r>
          </w:p>
        </w:tc>
        <w:tc>
          <w:tcPr>
            <w:tcW w:type="dxa" w:w="209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0.08 (0.04)</w:t>
            </w:r>
          </w:p>
        </w:tc>
        <w:tc>
          <w:tcPr>
            <w:tcW w:type="dxa" w:w="209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0.084 (0.041)</w:t>
            </w:r>
          </w:p>
        </w:tc>
        <w:tc>
          <w:tcPr>
            <w:tcW w:type="dxa" w:w="1361"/>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2,197</w:t>
            </w:r>
          </w:p>
        </w:tc>
      </w:tr>
      <w:tr>
        <w:trPr>
          <w:cantSplit/>
        </w:trPr>
        <w:tc>
          <w:tcPr>
            <w:tcW w:type="dxa" w:w="2721"/>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Government-school marker</w:t>
            </w:r>
          </w:p>
        </w:tc>
        <w:tc>
          <w:tcPr>
            <w:tcW w:type="dxa" w:w="113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10</w:t>
            </w:r>
          </w:p>
        </w:tc>
        <w:tc>
          <w:tcPr>
            <w:tcW w:type="dxa" w:w="209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0.10 (0.03)</w:t>
            </w:r>
          </w:p>
        </w:tc>
        <w:tc>
          <w:tcPr>
            <w:tcW w:type="dxa" w:w="209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0.101 (0.035)</w:t>
            </w:r>
          </w:p>
        </w:tc>
        <w:tc>
          <w:tcPr>
            <w:tcW w:type="dxa" w:w="1361"/>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2,197</w:t>
            </w:r>
          </w:p>
        </w:tc>
      </w:tr>
      <w:tr>
        <w:trPr>
          <w:cantSplit/>
        </w:trPr>
        <w:tc>
          <w:tcPr>
            <w:tcW w:type="dxa" w:w="2721"/>
            <w:vAlign w:val="center"/>
            <w:tcMar>
              <w:top w:w="75" w:type="dxa"/>
              <w:bottom w:w="75" w:type="dxa"/>
              <w:left w:w="65" w:type="dxa"/>
              <w:right w:w="65" w:type="dxa"/>
            </w:tcMar>
          </w:tcPr>
          <w:p>
            <w:pPr>
              <w:keepNext w:val="0"/>
              <w:spacing w:line="264" w:lineRule="auto" w:after="20"/>
              <w:jc w:val="left"/>
            </w:pPr>
            <w:r>
              <w:rPr>
                <w:rFonts w:ascii="Times New Roman" w:hAnsi="Times New Roman"/>
                <w:b w:val="0"/>
                <w:sz w:val="24"/>
              </w:rPr>
              <w:t>Residual departure</w:t>
            </w:r>
          </w:p>
        </w:tc>
        <w:tc>
          <w:tcPr>
            <w:tcW w:type="dxa" w:w="1134"/>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10</w:t>
            </w:r>
          </w:p>
        </w:tc>
        <w:tc>
          <w:tcPr>
            <w:tcW w:type="dxa" w:w="2098"/>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-0.02 (0.03)</w:t>
            </w:r>
          </w:p>
        </w:tc>
        <w:tc>
          <w:tcPr>
            <w:tcW w:type="dxa" w:w="2098"/>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-0.018 (0.031)</w:t>
            </w:r>
          </w:p>
        </w:tc>
        <w:tc>
          <w:tcPr>
            <w:tcW w:type="dxa" w:w="1361"/>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2,197</w:t>
            </w:r>
          </w:p>
        </w:tc>
      </w:tr>
    </w:tbl>
    <w:p>
      <w:pPr>
        <w:spacing w:line="276" w:lineRule="auto" w:before="80"/>
      </w:pPr>
      <w:r>
        <w:t>Notes: Effects and standard errors are in probability units; 0.01 equals one percentage point. The attendance row is the pooled all-teacher result in original Table 2, Panel A (3,071 visits, 113 schools). The departure rows reproduce all three original Table 10 rows (2,197 children, 111 schools). Recorded departure means zero recoded attendance over the latest up to five open-school checks. The government-school marker requires recorded departure and reason “2” in a selected record; residual departure is the remainder. Standard errors are clustered by school. No significance stars are used. Source: Duflo, Hanna, and Ryan (2012) and the reconstructed Version 1 data.</w:t>
      </w:r>
    </w:p>
    <w:p>
      <w:r>
        <w:t>The estimates below use the main sample described in Duflo, Hanna, and Ryan (2012). To facilitate matching to the study replication files, I drop two children with multiple baseline observations whose records disagree about the child’s test status, resulting in 2,195 children from 111 schools. The sample includes 1,136 children from 57 treated schools and 1,059 children from 54 control schools. Without adding data or measures or imposing passing score cutoffs on test scores, there are 1,798 “nonwriters” and 397 “writers.”</w:t>
      </w:r>
    </w:p>
    <w:p>
      <w:pPr>
        <w:pStyle w:val="Heading1"/>
      </w:pPr>
      <w:r>
        <w:t>3. Extension</w:t>
      </w:r>
    </w:p>
    <w:p>
      <w:r>
        <w:t>A motivation for studying departures is that the Seva Mandir-operated centers can be stepping-stones towards enrollment into government schools by teaching children foundational skills. One reason treatment may have had heterogeneous effects on departures may be that it caused children who were better prepared to enter government schools (with written baseline-test status used as a coarse preparation proxy) to be more likely to leave the centers. Of course, any heterogeneity in departures could be due to a variety of other reasons, including other differences between writers and nonwriters or differential impacts of monitoring on measurement of writer versus nonwriter attendance. Duflo, Hanna, and Ryan (2012) use this same distinction to analyze heterogeneous impacts of treatment on learning outcomes and attendance. This exercise examines whether the treatment effect on recorded departure differs between writers and nonwriters, with or without a government-school marker. Thus, these results should be viewed as exploratory, and do not estimate a treatment effect of ability or of writing.</w:t>
      </w:r>
    </w:p>
    <w:p>
      <w:r>
        <w:t>I estimate</w:t>
      </w:r>
    </w:p>
    <w:p>
      <w:pPr>
        <w:keepNext/>
        <w:keepLines/>
      </w:pPr>
      <m:oMath>
        <m:sSub>
          <m:e>
            <m:r>
              <m:t>Y</m:t>
            </m:r>
          </m:e>
          <m:sub>
            <m:r>
              <m:t>is</m:t>
            </m:r>
          </m:sub>
        </m:sSub>
        <m:r>
          <m:t> = α + τ </m:t>
        </m:r>
        <m:sSub>
          <m:e>
            <m:r>
              <m:t>T</m:t>
            </m:r>
          </m:e>
          <m:sub>
            <m:r>
              <m:t>s</m:t>
            </m:r>
          </m:sub>
        </m:sSub>
        <m:r>
          <m:t> + β </m:t>
        </m:r>
        <m:sSub>
          <m:e>
            <m:r>
              <m:t>W</m:t>
            </m:r>
          </m:e>
          <m:sub>
            <m:r>
              <m:t>is</m:t>
            </m:r>
          </m:sub>
        </m:sSub>
        <m:r>
          <m:t> + δ (</m:t>
        </m:r>
        <m:sSub>
          <m:e>
            <m:r>
              <m:t>T</m:t>
            </m:r>
          </m:e>
          <m:sub>
            <m:r>
              <m:t>s</m:t>
            </m:r>
          </m:sub>
        </m:sSub>
        <m:r>
          <m:t> × </m:t>
        </m:r>
        <m:sSub>
          <m:e>
            <m:r>
              <m:t>W</m:t>
            </m:r>
          </m:e>
          <m:sub>
            <m:r>
              <m:t>is</m:t>
            </m:r>
          </m:sub>
        </m:sSub>
        <m:r>
          <m:t>) + </m:t>
        </m:r>
        <m:sSub>
          <m:e>
            <m:r>
              <m:t>ε</m:t>
            </m:r>
          </m:e>
          <m:sub>
            <m:r>
              <m:t>is</m:t>
            </m:r>
          </m:sub>
        </m:sSub>
        <m:r>
          <m:t>     (1)</m:t>
        </m:r>
      </m:oMath>
    </w:p>
    <w:p>
      <w:r>
        <w:t>where Y is the binary outcome being analyzed, T denotes treatment status of the child’s school, and W denotes whether the child took the written test in the baseline (“writer”) as opposed to oral test (“nonwriter”). I estimate a saturated version of this model, so the coefficients can be interpreted as the departure rate among nonwriters in control schools (α), nonwriters in treatment schools (α + τ), writers in control schools (α + β), and writers in treatment schools (α + β + τ + δ). Thus τ is the treatment effect for nonwriters, τ + δ is the treatment effect for writers, and δ is the difference in these two treatment effects. This specification puts equal weight on each child. School-clustered standard errors (with 110 degrees of freedom for critical t values) for the estimated treatment effect among writers account for covariance between τ and δ.</w:t>
      </w:r>
    </w:p>
    <w:p>
      <w:r>
        <w:t>I estimate the model for three different outcomes in Y. Departed is the departure measure used by Duflo, Hanna, and Ryan (2012). Government School is an indicator equal to one if the child is classified as departed and has a government-school reason marker in at least one selected record. Residual Departure is Departed minus Government School. I conduct wild cluster bootstrap hypothesis tests that impose the null under test, use 9,999 school-level Rademacher wild-bootstrap-t draws (using a random number seed of 20260922), and account for the finite number of clusters following Cameron, Gelbach, and Miller (2008). The null sets δ = 0 while leaving the treatment and writing main effects unrestricted. Table 3 reports p-values for δ, the writer-minus-nonwriter difference in treatment effects. I adjust the conventional school-clustered p-values across the three outcomes using Holm (1979), and report wild-bootstrap p-values separately. These results are exploratory as this correction does not account for the search discussed in Appendix C that considered a number of potential candidate exercises before turning to this analysis of heterogeneity.</w:t>
      </w:r>
    </w:p>
    <w:p>
      <w:r>
        <w:t>As above, I view these results as exploratory and the characterization of baseline writers as better prepared as heuristic, not an empirical statement that these children were better students on average. Residual departure is an operational residual category, not a measure of educational dropout.</w:t>
      </w:r>
    </w:p>
    <w:p>
      <w:r>
        <w:t>Next I explore whether children’s departure from these centers may have varied by their baseline written-versus-oral test status. In the original study’s Tables 7 and 9, Duflo, Hanna, and Ryan (2012) explore heterogeneity based on whether children could take a written or only an oral pretest in tables of treatment effects on presence at the center (Table 7) and treatment effects on test scores (Table 9), respectively. They do not do this heterogeneity analysis in Table 10 on leaving the center.</w:t>
      </w:r>
    </w:p>
    <w:p>
      <w:r>
        <w:t>Table 2 reports results. Column 1 replicates the original Table 10 average recorded-departure coefficient. Columns 2–3 report group treatment effects from the interaction model. I leave out the two children with conflicting baseline writing records from the 2,197-child replication sample, leaving 2,195 for the interaction analysis. I report the estimates together with their sample sizes and school-clustered uncertainty. They use slightly different samples and answer different questions: the first column reports the treatment-control difference in departure, on average, while columns 2 and 3 report treatment-control differences by baseline written-test status. Figure 1 graphs the results of columns 2–3 and their direct difference.</w:t>
      </w:r>
    </w:p>
    <w:p>
      <w:r>
        <w:t>Results indicate a 26.1 percentage point treatment-control difference in departure for baseline writers (“Writer” column) and a 5.0 percentage point difference for baseline nonwriters (“Nonwriter” column). These numbers should not be interpreted as before-and-after changes among the same children: they are treatment-control comparisons among different children. Nor can we interpret baseline nonwriters as unaffected by the program, as their confidence interval is wide enough to include small negative or greater than ten point effects. The interaction term shows that baseline writers had a 21.1 (95 percent CI: [6.9, 35.3]) percentage-point larger effect on departure from educational centers than did baseline nonwriters.¹⁷ The p-value on this interaction term is .004 using clustered standard errors and .007 using the wild-cluster bootstrap suggested in Cameron, Gelbach, and Miller (2008). With three departure outcomes tested, a Holm-adjusted p-value is .012.</w:t>
      </w:r>
    </w:p>
    <w:p>
      <w:pPr>
        <w:pStyle w:val="Caption"/>
      </w:pPr>
      <w:r>
        <w:rPr>
          <w:b/>
        </w:rPr>
        <w:t>Table 2 Extension of original Table 10 by baseline writing status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628"/>
        <w:gridCol w:w="1814"/>
        <w:gridCol w:w="1984"/>
        <w:gridCol w:w="1984"/>
      </w:tblGrid>
      <w:tr>
        <w:trPr>
          <w:cantSplit/>
          <w:tblHeader/>
        </w:trPr>
        <w:tc>
          <w:tcPr>
            <w:tcW w:type="dxa" w:w="3628"/>
            <w:vAlign w:val="center"/>
            <w:tcMar>
              <w:top w:w="75" w:type="dxa"/>
              <w:bottom w:w="75" w:type="dxa"/>
              <w:left w:w="65" w:type="dxa"/>
              <w:right w:w="65" w:type="dxa"/>
            </w:tcMar>
            <w:shd w:fill="ECECEC"/>
          </w:tcPr>
          <w:p>
            <w:pPr>
              <w:keepNext/>
              <w:spacing w:line="264" w:lineRule="auto" w:after="20"/>
              <w:jc w:val="left"/>
            </w:pPr>
            <w:r>
              <w:rPr>
                <w:rFonts w:ascii="Times New Roman" w:hAnsi="Times New Roman"/>
                <w:b/>
                <w:sz w:val="24"/>
              </w:rPr>
              <w:t>Recorded departure</w:t>
            </w:r>
          </w:p>
        </w:tc>
        <w:tc>
          <w:tcPr>
            <w:tcW w:type="dxa" w:w="1814"/>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Average (1)</w:t>
            </w:r>
          </w:p>
        </w:tc>
        <w:tc>
          <w:tcPr>
            <w:tcW w:type="dxa" w:w="1984"/>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Nonwriter (2)</w:t>
            </w:r>
          </w:p>
        </w:tc>
        <w:tc>
          <w:tcPr>
            <w:tcW w:type="dxa" w:w="1984"/>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Writer (3)</w:t>
            </w:r>
          </w:p>
        </w:tc>
      </w:tr>
      <w:tr>
        <w:trPr>
          <w:cantSplit/>
        </w:trPr>
        <w:tc>
          <w:tcPr>
            <w:tcW w:type="dxa" w:w="3628"/>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Treatment effect</w:t>
            </w:r>
          </w:p>
        </w:tc>
        <w:tc>
          <w:tcPr>
            <w:tcW w:type="dxa" w:w="181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8.4</w:t>
            </w:r>
          </w:p>
        </w:tc>
        <w:tc>
          <w:tcPr>
            <w:tcW w:type="dxa" w:w="198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5.0</w:t>
            </w:r>
          </w:p>
        </w:tc>
        <w:tc>
          <w:tcPr>
            <w:tcW w:type="dxa" w:w="198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26.1</w:t>
            </w:r>
          </w:p>
        </w:tc>
      </w:tr>
      <w:tr>
        <w:trPr>
          <w:cantSplit/>
        </w:trPr>
        <w:tc>
          <w:tcPr>
            <w:tcW w:type="dxa" w:w="3628"/>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Clustered SE</w:t>
            </w:r>
          </w:p>
        </w:tc>
        <w:tc>
          <w:tcPr>
            <w:tcW w:type="dxa" w:w="181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4.1</w:t>
            </w:r>
          </w:p>
        </w:tc>
        <w:tc>
          <w:tcPr>
            <w:tcW w:type="dxa" w:w="198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3.7</w:t>
            </w:r>
          </w:p>
        </w:tc>
        <w:tc>
          <w:tcPr>
            <w:tcW w:type="dxa" w:w="198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8.1</w:t>
            </w:r>
          </w:p>
        </w:tc>
      </w:tr>
      <w:tr>
        <w:trPr>
          <w:cantSplit/>
        </w:trPr>
        <w:tc>
          <w:tcPr>
            <w:tcW w:type="dxa" w:w="3628"/>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95% confidence interval</w:t>
            </w:r>
          </w:p>
        </w:tc>
        <w:tc>
          <w:tcPr>
            <w:tcW w:type="dxa" w:w="181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[0.2, 16.5]</w:t>
            </w:r>
          </w:p>
        </w:tc>
        <w:tc>
          <w:tcPr>
            <w:tcW w:type="dxa" w:w="198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[-2.4, 12.4]</w:t>
            </w:r>
          </w:p>
        </w:tc>
        <w:tc>
          <w:tcPr>
            <w:tcW w:type="dxa" w:w="1984"/>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[10.0, 42.3]</w:t>
            </w:r>
          </w:p>
        </w:tc>
      </w:tr>
      <w:tr>
        <w:trPr>
          <w:cantSplit/>
        </w:trPr>
        <w:tc>
          <w:tcPr>
            <w:tcW w:type="dxa" w:w="3628"/>
            <w:vAlign w:val="center"/>
            <w:tcMar>
              <w:top w:w="75" w:type="dxa"/>
              <w:bottom w:w="75" w:type="dxa"/>
              <w:left w:w="65" w:type="dxa"/>
              <w:right w:w="65" w:type="dxa"/>
            </w:tcMar>
          </w:tcPr>
          <w:p>
            <w:pPr>
              <w:keepNext w:val="0"/>
              <w:spacing w:line="264" w:lineRule="auto" w:after="20"/>
              <w:jc w:val="left"/>
            </w:pPr>
            <w:r>
              <w:rPr>
                <w:rFonts w:ascii="Times New Roman" w:hAnsi="Times New Roman"/>
                <w:b w:val="0"/>
                <w:sz w:val="24"/>
              </w:rPr>
              <w:t>Children</w:t>
            </w:r>
          </w:p>
        </w:tc>
        <w:tc>
          <w:tcPr>
            <w:tcW w:type="dxa" w:w="1814"/>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2,197</w:t>
            </w:r>
          </w:p>
        </w:tc>
        <w:tc>
          <w:tcPr>
            <w:tcW w:type="dxa" w:w="1984"/>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1,798</w:t>
            </w:r>
          </w:p>
        </w:tc>
        <w:tc>
          <w:tcPr>
            <w:tcW w:type="dxa" w:w="1984"/>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397</w:t>
            </w:r>
          </w:p>
        </w:tc>
      </w:tr>
    </w:tbl>
    <w:p>
      <w:pPr>
        <w:spacing w:line="276" w:lineRule="auto" w:before="80"/>
      </w:pPr>
      <w:r>
        <w:t>Notes: Effects, standard errors, and intervals are in percentage points. Column 1 repeats the aggregate 2,197-child replication in 111 schools. Columns 2–3 are τ and τ + δ from equation (1), fitted to 2,195 children in 111 schools after excluding two conflicting baseline-writing records. Writer/nonwriter describes the child’s baseline written-versus-oral test protocol. Covariance estimates are clustered by school; intervals use 110 degrees of freedom. The writer SE accounts for covariance between τ and δ. No significance stars are used.</w:t>
      </w:r>
    </w:p>
    <w:p>
      <w:pPr>
        <w:pStyle w:val="Caption"/>
      </w:pPr>
      <w:r>
        <w:rPr>
          <w:b/>
        </w:rPr>
        <w:t>Figure 1 Recorded departure effects and their difference by baseline writing status</w:t>
      </w:r>
    </w:p>
    <w:p>
      <w:pPr>
        <w:keepNext/>
      </w:pPr>
      <w:r>
        <w:drawing>
          <wp:inline xmlns:a="http://schemas.openxmlformats.org/drawingml/2006/main" xmlns:pic="http://schemas.openxmlformats.org/drawingml/2006/picture">
            <wp:extent cx="5976000" cy="2048914"/>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976000" cy="2048914"/>
                    </a:xfrm>
                    <a:prstGeom prst="rect"/>
                  </pic:spPr>
                </pic:pic>
              </a:graphicData>
            </a:graphic>
          </wp:inline>
        </w:drawing>
      </w:r>
    </w:p>
    <w:p>
      <w:pPr>
        <w:spacing w:line="276" w:lineRule="auto" w:before="80"/>
      </w:pPr>
      <w:r>
        <w:t>Notes: Points show τ for baseline nonwriters, τ + δ for baseline writers, and δ for their direct difference from equation (1). Bars show 95% confidence intervals based on school-clustered SEs, with 110 degrees of freedom. All estimates use 2,195 children in 111 schools. Recorded departure follows the original last-up-to-five-open-check rule; it is not verified educational dropout. Units are percentage points. No significance stars are used.</w:t>
      </w:r>
    </w:p>
    <w:p>
      <w:r>
        <w:t>The total-departure interaction does not establish why or where these children went when they left: was departure because they found a place in a government school or for some other reason? I next estimate the same model, with the interaction between school treatment and child baseline writing status on more refined outcomes in Table 3. The interaction with baseline writing status has a larger point estimate on Residual departure than on Government school, though I hesitate to make strong statements about these children’s destinations based on one being classified as residual.</w:t>
      </w:r>
    </w:p>
    <w:p>
      <w:r>
        <w:t>Results do not contradict those reported in the original study’s Table 7, which found more days of instruction because schools were open more often. Panel C limits its analysis to children who stayed at the center and reports that presence was 14 percentage points higher for children who could only take the oral pretest and 10 points higher for those who could take the written test, a difference that is not significant. Nor do these results necessarily indicate that the children who benefited the most in learning (the original Table 9 reports larger estimated learning gains among children who took the written pretest) are the same children who transferred out, nor do they track what happened to individual children on all three margins (presence, learning, destination). My results in Table 2 extend the original study’s Table 10 by splitting its reported dependent variable Leaving the center up by the groups in baseline tests that the original authors used in Tables 7 and 9.</w:t>
      </w:r>
    </w:p>
    <w:p>
      <w:r>
        <w:t>Table 3 shows interaction results for total recorded departure, the government-school marker, and residual departure, under the definitions of departure from baseline school given above. I report all three to be clear about the limitation. Under these definitions, the government-marker and residual interaction point estimates sum to the total-departure interaction. The government school estimate does not provide evidence that the treatment effect on the recorded government-school marker was larger for writers than nonwriters, but the residual departure interaction estimate is precise, both without (p = .007) and with adjustments for multiple hypothesis testing. Departure without a government-school flag includes all other recorded departures, including those with missing destination reasons. The interpretation in the original paper of an increase in the move to government schools overall motivated this exercise, but the imprecise marker interaction and missing destination records do not establish whether transfers explain the difference between the groups.</w:t>
      </w:r>
    </w:p>
    <w:p>
      <w:pPr>
        <w:pStyle w:val="Caption"/>
      </w:pPr>
      <w:r>
        <w:rPr>
          <w:b/>
        </w:rPr>
        <w:t>Table 3 Extension of original Table 10 across recorded departure outcomes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21"/>
        <w:gridCol w:w="567"/>
        <w:gridCol w:w="1871"/>
        <w:gridCol w:w="1247"/>
        <w:gridCol w:w="1077"/>
        <w:gridCol w:w="1928"/>
      </w:tblGrid>
      <w:tr>
        <w:trPr>
          <w:cantSplit/>
          <w:tblHeader/>
        </w:trPr>
        <w:tc>
          <w:tcPr>
            <w:tcW w:type="dxa" w:w="2721"/>
            <w:vAlign w:val="center"/>
            <w:tcMar>
              <w:top w:w="75" w:type="dxa"/>
              <w:bottom w:w="75" w:type="dxa"/>
              <w:left w:w="65" w:type="dxa"/>
              <w:right w:w="65" w:type="dxa"/>
            </w:tcMar>
            <w:shd w:fill="ECECEC"/>
          </w:tcPr>
          <w:p>
            <w:pPr>
              <w:keepNext/>
              <w:spacing w:line="264" w:lineRule="auto" w:after="20"/>
              <w:jc w:val="left"/>
            </w:pPr>
            <w:r>
              <w:rPr>
                <w:rFonts w:ascii="Times New Roman" w:hAnsi="Times New Roman"/>
                <w:b/>
                <w:sz w:val="24"/>
              </w:rPr>
              <w:t>Outcome</w:t>
            </w:r>
          </w:p>
        </w:tc>
        <w:tc>
          <w:tcPr>
            <w:tcW w:type="dxa" w:w="567"/>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δ</w:t>
            </w:r>
          </w:p>
        </w:tc>
        <w:tc>
          <w:tcPr>
            <w:tcW w:type="dxa" w:w="1871"/>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95% confidence interval</w:t>
            </w:r>
          </w:p>
        </w:tc>
        <w:tc>
          <w:tcPr>
            <w:tcW w:type="dxa" w:w="1247"/>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Clustered p</w:t>
            </w:r>
          </w:p>
        </w:tc>
        <w:tc>
          <w:tcPr>
            <w:tcW w:type="dxa" w:w="1077"/>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Holm p</w:t>
            </w:r>
          </w:p>
        </w:tc>
        <w:tc>
          <w:tcPr>
            <w:tcW w:type="dxa" w:w="1928"/>
            <w:vAlign w:val="center"/>
            <w:tcMar>
              <w:top w:w="75" w:type="dxa"/>
              <w:bottom w:w="75" w:type="dxa"/>
              <w:left w:w="65" w:type="dxa"/>
              <w:right w:w="65" w:type="dxa"/>
            </w:tcMar>
            <w:shd w:fill="ECECEC"/>
          </w:tcPr>
          <w:p>
            <w:pPr>
              <w:keepNext/>
              <w:spacing w:line="264" w:lineRule="auto" w:after="20"/>
              <w:jc w:val="center"/>
            </w:pPr>
            <w:r>
              <w:rPr>
                <w:rFonts w:ascii="Times New Roman" w:hAnsi="Times New Roman"/>
                <w:b/>
                <w:sz w:val="24"/>
              </w:rPr>
              <w:t>Wild-bootstrap p</w:t>
            </w:r>
          </w:p>
        </w:tc>
      </w:tr>
      <w:tr>
        <w:trPr>
          <w:cantSplit/>
        </w:trPr>
        <w:tc>
          <w:tcPr>
            <w:tcW w:type="dxa" w:w="2721"/>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Recorded departure</w:t>
            </w:r>
          </w:p>
        </w:tc>
        <w:tc>
          <w:tcPr>
            <w:tcW w:type="dxa" w:w="567"/>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21.1</w:t>
            </w:r>
          </w:p>
        </w:tc>
        <w:tc>
          <w:tcPr>
            <w:tcW w:type="dxa" w:w="1871"/>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[6.9, 35.3]</w:t>
            </w:r>
          </w:p>
        </w:tc>
        <w:tc>
          <w:tcPr>
            <w:tcW w:type="dxa" w:w="1247"/>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.004</w:t>
            </w:r>
          </w:p>
        </w:tc>
        <w:tc>
          <w:tcPr>
            <w:tcW w:type="dxa" w:w="1077"/>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.012</w:t>
            </w:r>
          </w:p>
        </w:tc>
        <w:tc>
          <w:tcPr>
            <w:tcW w:type="dxa" w:w="192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.007</w:t>
            </w:r>
          </w:p>
        </w:tc>
      </w:tr>
      <w:tr>
        <w:trPr>
          <w:cantSplit/>
        </w:trPr>
        <w:tc>
          <w:tcPr>
            <w:tcW w:type="dxa" w:w="2721"/>
            <w:vAlign w:val="center"/>
            <w:tcMar>
              <w:top w:w="75" w:type="dxa"/>
              <w:bottom w:w="75" w:type="dxa"/>
              <w:left w:w="65" w:type="dxa"/>
              <w:right w:w="65" w:type="dxa"/>
            </w:tcMar>
          </w:tcPr>
          <w:p>
            <w:pPr>
              <w:keepNext/>
              <w:spacing w:line="264" w:lineRule="auto" w:after="20"/>
              <w:jc w:val="left"/>
            </w:pPr>
            <w:r>
              <w:rPr>
                <w:rFonts w:ascii="Times New Roman" w:hAnsi="Times New Roman"/>
                <w:b w:val="0"/>
                <w:sz w:val="24"/>
              </w:rPr>
              <w:t>Government-school marker</w:t>
            </w:r>
          </w:p>
        </w:tc>
        <w:tc>
          <w:tcPr>
            <w:tcW w:type="dxa" w:w="567"/>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4.8</w:t>
            </w:r>
          </w:p>
        </w:tc>
        <w:tc>
          <w:tcPr>
            <w:tcW w:type="dxa" w:w="1871"/>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[-10.5, 20.2]</w:t>
            </w:r>
          </w:p>
        </w:tc>
        <w:tc>
          <w:tcPr>
            <w:tcW w:type="dxa" w:w="1247"/>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.534</w:t>
            </w:r>
          </w:p>
        </w:tc>
        <w:tc>
          <w:tcPr>
            <w:tcW w:type="dxa" w:w="1077"/>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.534</w:t>
            </w:r>
          </w:p>
        </w:tc>
        <w:tc>
          <w:tcPr>
            <w:tcW w:type="dxa" w:w="1928"/>
            <w:vAlign w:val="center"/>
            <w:tcMar>
              <w:top w:w="75" w:type="dxa"/>
              <w:bottom w:w="75" w:type="dxa"/>
              <w:left w:w="65" w:type="dxa"/>
              <w:right w:w="65" w:type="dxa"/>
            </w:tcMar>
          </w:tcPr>
          <w:p>
            <w:pPr>
              <w:keepNext/>
              <w:spacing w:line="264" w:lineRule="auto" w:after="20"/>
              <w:jc w:val="center"/>
            </w:pPr>
            <w:r>
              <w:rPr>
                <w:rFonts w:ascii="Times New Roman" w:hAnsi="Times New Roman"/>
                <w:b w:val="0"/>
                <w:sz w:val="24"/>
              </w:rPr>
              <w:t>—</w:t>
            </w:r>
          </w:p>
        </w:tc>
      </w:tr>
      <w:tr>
        <w:trPr>
          <w:cantSplit/>
        </w:trPr>
        <w:tc>
          <w:tcPr>
            <w:tcW w:type="dxa" w:w="2721"/>
            <w:vAlign w:val="center"/>
            <w:tcMar>
              <w:top w:w="75" w:type="dxa"/>
              <w:bottom w:w="75" w:type="dxa"/>
              <w:left w:w="65" w:type="dxa"/>
              <w:right w:w="65" w:type="dxa"/>
            </w:tcMar>
          </w:tcPr>
          <w:p>
            <w:pPr>
              <w:keepNext w:val="0"/>
              <w:spacing w:line="264" w:lineRule="auto" w:after="20"/>
              <w:jc w:val="left"/>
            </w:pPr>
            <w:r>
              <w:rPr>
                <w:rFonts w:ascii="Times New Roman" w:hAnsi="Times New Roman"/>
                <w:b w:val="0"/>
                <w:sz w:val="24"/>
              </w:rPr>
              <w:t>Residual departure</w:t>
            </w:r>
          </w:p>
        </w:tc>
        <w:tc>
          <w:tcPr>
            <w:tcW w:type="dxa" w:w="567"/>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16.3</w:t>
            </w:r>
          </w:p>
        </w:tc>
        <w:tc>
          <w:tcPr>
            <w:tcW w:type="dxa" w:w="1871"/>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[4.6, 27.9]</w:t>
            </w:r>
          </w:p>
        </w:tc>
        <w:tc>
          <w:tcPr>
            <w:tcW w:type="dxa" w:w="1247"/>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.007</w:t>
            </w:r>
          </w:p>
        </w:tc>
        <w:tc>
          <w:tcPr>
            <w:tcW w:type="dxa" w:w="1077"/>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.014</w:t>
            </w:r>
          </w:p>
        </w:tc>
        <w:tc>
          <w:tcPr>
            <w:tcW w:type="dxa" w:w="1928"/>
            <w:vAlign w:val="center"/>
            <w:tcMar>
              <w:top w:w="75" w:type="dxa"/>
              <w:bottom w:w="75" w:type="dxa"/>
              <w:left w:w="65" w:type="dxa"/>
              <w:right w:w="65" w:type="dxa"/>
            </w:tcMar>
          </w:tcPr>
          <w:p>
            <w:pPr>
              <w:keepNext w:val="0"/>
              <w:spacing w:line="264" w:lineRule="auto" w:after="20"/>
              <w:jc w:val="center"/>
            </w:pPr>
            <w:r>
              <w:rPr>
                <w:rFonts w:ascii="Times New Roman" w:hAnsi="Times New Roman"/>
                <w:b w:val="0"/>
                <w:sz w:val="24"/>
              </w:rPr>
              <w:t>.010</w:t>
            </w:r>
          </w:p>
        </w:tc>
      </w:tr>
    </w:tbl>
    <w:p>
      <w:pPr>
        <w:spacing w:line="276" w:lineRule="auto" w:before="80"/>
      </w:pPr>
      <w:r>
        <w:t>Notes: Table reports interaction coefficient δ from equation (1). Estimates and intervals are in percentage points. The sample is 2,195 children in 111 schools. Recorded departure follows the original latest-up-to-five-open-check rule. The government-school marker requires recorded departure and reason “2” in a selected record; residual departure is recorded departure minus this marker. Under the original coding, the government-marker and residual interaction point estimates sum to the total-departure interaction; their SEs, intervals, and p-values do not add. Conventional p-values and intervals use school-clustered SEs and 110 degrees of freedom. Holm adjusts the three conventional interaction p-values. Wild-bootstrap p-values use 9,999 null-imposed school-level Rademacher wild-bootstrap-t draws, seed 20260922, testing δ = 0 with unrestricted main effects. The dash means no government-marker bootstrap p-value was estimated/reported. No significance stars are used.</w:t>
      </w:r>
    </w:p>
    <w:p>
      <w:r>
        <w:t>Results for departure are limited in important ways that should be kept in mind when considering their meaning. First, as discussed above, some children have fewer than five checks in which the baseline school is open, and some departure classifications involve undocumented attendance codes. Among the main sample used above, there are 145 with insufficient observations and 113 whose departure classifications involve undocumented attendance codes; 28 are in both groups, so that in total there are 230 with at least one of the problems. For consistency with the original paper I leave the observations coded as they were, but distinguish these from random sampling issues. Results controlling for existing school-block/geographic indicators and limiting the sample to end in December 2005 (to check dependence on the final January–February 2006 records, whose appended reason values become blank under the distributed Stata convention) are in Appendix A. Additional results excluding the 113 children with ambiguous attendance-based departure classifications and bounding the interaction effect under assumptions about departure among children with problems are also presented. Departure interaction estimates are positive in all cases, although exclusion changes the sample and the algebraic ranges hold the other observations fixed and are not confidence intervals. None of these solutions deal with the important limitations noted next.</w:t>
      </w:r>
    </w:p>
    <w:p>
      <w:r>
        <w:t>Second and most important, because treatment increased the opening of schools, it affected measurement of whether children attended school. Departure is measured based on the last checks at which the school is open, and thus the last time at which it is possible the child would appear in the data. On average, schools were open for 15.4 (20.4) of the checks for baseline nonwriter children in control (treatment), and 15.2 (21.9) of checks for baseline writer children. Thus the last five times in which a school is open could occur in very different time periods, depending on whether the school is in treatment or control and the child’s baseline writing status. Randomization still allows comparison of groups, but makes this far from an obvious interpretation as a treatment-independent measure of permanent educational exit. A child absent at all selected checks could have left education, moved, or just happened to not go on those days. A child who was present some days may or may not have been in school the entire time.6 It is unclear how much of the interaction effect above reflects changes in educational participation and how much the mechanics of measuring educational participation. Finally, reason fields are blank in 7,112 of 10,707 selected open-school check records (66.4%), which limits interpretation of the departure measure. In short, using the rules of departure given originally, the table provides evidence that treatment caused recorded departure from the baseline school to increase more for baseline writers than baseline nonwriters. More general implications for education are less clear.</w:t>
      </w:r>
    </w:p>
    <w:sectPr w:rsidR="00FC693F" w:rsidRPr="0006063C" w:rsidSect="00034616">
      <w:footerReference w:type="default" r:id="rId9"/>
      <w:pgSz w:w="11906" w:h="16838"/>
      <w:pgMar w:top="1134" w:right="1247" w:bottom="1134" w:left="1247"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and Extension</dc:title>
  <dc:subject>Minimal corrections to the author supplied Sections 2 and 3</dc:subject>
  <dc:creator>Shay</dc:creator>
  <cp:keywords/>
  <dc:description>generated by python-docx</dc:description>
  <cp:lastModifiedBy/>
  <cp:revision>1</cp:revision>
  <dcterms:created xsi:type="dcterms:W3CDTF">2013-12-23T23:15:00Z</dcterms:created>
  <dcterms:modified xsi:type="dcterms:W3CDTF">2013-12-23T23:15:00Z</dcterms:modified>
  <cp:category/>
</cp:coreProperties>
</file>