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of your replication and extension</w:t>
      </w:r>
    </w:p>
    <w:p>
      <w:r>
        <w:t>Your original wording appears in black. Red parenthetical notes identify the exact quoted span and suggest what you could change. No correction has been applied to your prose or existing paper. The original equation is rendered as editable Word math with its original terms; its suggested replacement appears separately. The pasted table is laid out in columns, retaining its original labels, values, and blank cells.</w:t>
      </w:r>
    </w:p>
    <w:p>
      <w:r>
        <w:t>Correction = a mismatch with the original article, implemented analysis, or recorded results. Requirement = an explicit Track A or final-paper rule. Clarity = an optional improvement or a useful qualification. Source-line numbers refer to the pasted text, not manuscript page numbers.</w:t>
      </w:r>
    </w:p>
    <w:p>
      <w:r>
        <w:t>Priority: correct the model and inference paragraph, the attendance/destination construction, and the child-level writing labels. Then finish the exhibits and cross-references. Most headline coefficients and sample counts agree with the saved analysis.</w:t>
      </w:r>
    </w:p>
    <w:p>
      <w:r>
        <w:t>The requirements are used as review criteria; they do not authorize rewriting or submitting your work. This is a review copy, so its length and formatting are not a proposed submission layout.</w:t>
      </w:r>
    </w:p>
    <w:p>
      <w:pPr>
        <w:pStyle w:val="Heading1"/>
      </w:pPr>
      <w:r>
        <w:t>Annotated original excerpt</w:t>
      </w:r>
    </w:p>
    <w:p>
      <w:pPr>
        <w:pStyle w:val="Originalsource"/>
        <w:widowControl/>
      </w:pPr>
      <w:r>
        <w:t>Replication and Extension (edited)</w:t>
      </w:r>
    </w:p>
    <w:p>
      <w:pPr>
        <w:pStyle w:val="Originalsource"/>
        <w:widowControl/>
      </w:pPr>
      <w:r>
        <w:t>Oct 14, 2026 · @Shay</w:t>
      </w:r>
    </w:p>
    <w:p>
      <w:pPr>
        <w:pStyle w:val="Originalsource"/>
        <w:keepNext/>
        <w:widowControl/>
      </w:pPr>
      <w:r>
        <w:rPr>
          <w:b/>
        </w:rPr>
        <w:t>2. Replication</w:t>
      </w:r>
    </w:p>
    <w:p>
      <w:pPr>
        <w:pStyle w:val="Originalsource"/>
        <w:widowControl/>
      </w:pPr>
      <w:r/>
    </w:p>
    <w:p>
      <w:pPr>
        <w:pStyle w:val="Originalsource"/>
        <w:widowControl/>
      </w:pPr>
      <w:r>
        <w:t>Duflo, Hanna and Ryan (2012) study whether monitoring affects teacher absenteeism. They run a field experiment with educational centers run by Seva Mandir in rural Udaipur, Rajasthan (Duflo, Hanna and Ryan, 2012). In these centers, which I will refer to as schools following the practice in Duflo, Hanna and Ryan (2012), children learn basic Hindi and other things to prepare them for enrolling in government schools. Schools typically have a single teacher, so are closed when the teacher is not present. Duflo, Hanna and Ryan (2012) randomize schools to monitoring via photographs; the treatment began in September 2003. I focus on results through February 2006, which was used to produce the two tables that I replicate; however, as of October 2009 the program was still active.¹</w:t>
      </w:r>
    </w:p>
    <w:p>
      <w:pPr>
        <w:pStyle w:val="Reviewnote"/>
      </w:pPr>
      <w:r>
        <w:rPr>
          <w:b/>
        </w:rPr>
        <w:t xml:space="preserve">(N01 · Correction · source line 5 · “randomize schools to monitoring via photographs”: </w:t>
      </w:r>
      <w:r>
        <w:t>Replace with “randomize schools to a package of camera monitoring and attendance-linked pay.” Assignment identifies the effect of the package; it does not identify a separate effect of photographs. Apply the same qualification to “monitoring caused” later in this excerpt. [E1: printed pp. 1242, 1246]</w:t>
      </w:r>
      <w:r>
        <w:t>)</w:t>
      </w:r>
    </w:p>
    <w:p>
      <w:pPr>
        <w:pStyle w:val="Reviewnote"/>
      </w:pPr>
      <w:r>
        <w:rPr>
          <w:b/>
        </w:rPr>
        <w:t xml:space="preserve">(N02 · Clarity · source line 5 · “study whether monitoring affects teacher absenteeism”: </w:t>
      </w:r>
      <w:r>
        <w:t>For the opening account of the original paper, state the broader question about incentives, teacher absence, and learning; then give its headline findings (about 21 percentage points lower absence and 0.17 SD higher test scores), before identifying the attendance and departure results you replicate. This makes the original contribution and your selected replication scope clear. [E1: printed pp. 1241–1242]</w:t>
      </w:r>
      <w:r>
        <w:t>)</w:t>
      </w:r>
    </w:p>
    <w:p>
      <w:pPr>
        <w:pStyle w:val="Originalsource"/>
        <w:widowControl/>
      </w:pPr>
      <w:r>
        <w:t>Duflo, Hanna and Ryan (2012) randomize 120 schools, seven of which were excluded from the analysis following randomization but before the intervention was announced to schools, leaving 57 treatment and 56 control schools. In treatment schools, teachers and children were photographed at the beginning and end of each school day; the control group continued to receive surprise visits from researchers. Treatment schools' teachers were compensated based in part on attendance as indicated in the photos; control schools' teachers continued to receive a fixed wage.</w:t>
      </w:r>
    </w:p>
    <w:p>
      <w:pPr>
        <w:pStyle w:val="Reviewnote"/>
      </w:pPr>
      <w:r>
        <w:rPr>
          <w:b/>
        </w:rPr>
        <w:t xml:space="preserve">(N03 · Clarity · source line 6 · “the control group continued to receive surprise visits from researchers”: </w:t>
      </w:r>
      <w:r>
        <w:t>Replace with “Researchers made unannounced attendance visits in both treatment and control schools. Only treatment schools used the daily camera records to calculate attendance-linked pay; control teachers received fixed pay.” The existing sentence can imply that these research visits were unique to control schools. [E1: printed pp. 1246–1248; E2]</w:t>
      </w:r>
      <w:r>
        <w:t>)</w:t>
      </w:r>
    </w:p>
    <w:p>
      <w:pPr>
        <w:pStyle w:val="Originalsource"/>
        <w:widowControl/>
      </w:pPr>
      <w:r>
        <w:t>Using data shared by Duflo, Hanna and Ryan in a replication package (E112523V1) which consisted of Stata files, I replicate the paper’s Table 2 (which includes main results) and Table 10 (which reports effects on average departure),² and recreate these results and an extension (described below) in Python. After completing this replication, I continue with the extension on my own.</w:t>
      </w:r>
    </w:p>
    <w:p>
      <w:pPr>
        <w:pStyle w:val="Reviewnote"/>
      </w:pPr>
      <w:r>
        <w:rPr>
          <w:b/>
        </w:rPr>
        <w:t xml:space="preserve">(N04 · Correction · source line 7 · “I replicate the paper’s Table 2”: </w:t>
      </w:r>
      <w:r>
        <w:t>Specify “the pooled all-teacher result in Table 2, Panel A, and all three outcome rows of Table 10.” Our attendance reconstruction reproduces that selected pooled result, not every panel and time-period specification in original Table 2. Use this scope consistently in lines 8–9. [E1: printed pp. 1249–1250, 1274; E3]</w:t>
      </w:r>
      <w:r>
        <w:t>)</w:t>
      </w:r>
    </w:p>
    <w:p>
      <w:pPr>
        <w:pStyle w:val="Reviewnote"/>
      </w:pPr>
      <w:r>
        <w:rPr>
          <w:b/>
        </w:rPr>
        <w:t xml:space="preserve">(N05 · Requirement · source line 7 · “in Python”: </w:t>
      </w:r>
      <w:r>
        <w:t>State the Python version and analysis-package versions, or point explicitly to an appendix/environment file that supplies them, with the reproduction commands. Track A asks for exact software, sample, years, variable definitions, and missing-data treatment; submitted tables and figures must be reproducible from code and a README. A public folder link is encouraged, rather than mandatory. This excerpt alone does not show whether those details already appear elsewhere. [E5: pp. 3–4]</w:t>
      </w:r>
      <w:r>
        <w:t>)</w:t>
      </w:r>
    </w:p>
    <w:p>
      <w:pPr>
        <w:pStyle w:val="Reviewnote"/>
      </w:pPr>
      <w:r>
        <w:rPr>
          <w:b/>
        </w:rPr>
        <w:t xml:space="preserve">(N06 · Clarity · source line 7 · “continue with the extension on my own”: </w:t>
      </w:r>
      <w:r>
        <w:t>If you mean that the extension is your addition to the original authors’ analysis, say that directly. Avoid implying unassisted coding or writing: the project used AI assistance. The full paper’s required AI Use Statement should accurately identify the tools, model/version, dates, and roles; keep the transcripts. Its absence from this two-section excerpt is not itself a finding. [E5: pp. 2–3]</w:t>
      </w:r>
      <w:r>
        <w:t>)</w:t>
      </w:r>
    </w:p>
    <w:p>
      <w:pPr>
        <w:pStyle w:val="Originalsource"/>
        <w:widowControl/>
      </w:pPr>
      <w:r>
        <w:t>In Table 2, the sample consists of 3,071 random visits to 113 schools. Duflo, Hanna and Ryan (2012) estimate a regression of whether the school was open on a constant and treatment status and report standard errors clustered by school. To construct the data, I exclude a baseline period before treatment was announced, continue to exclude the same schools as Duflo, Hanna and Ryan (2012), and categorize the data collected in late August as belonging to the intervention period of September 2003–February 2006.</w:t>
      </w:r>
    </w:p>
    <w:p>
      <w:pPr>
        <w:pStyle w:val="Originalsource"/>
        <w:widowControl/>
      </w:pPr>
      <w:r>
        <w:t>I match the results in Table 2 of Duflo, Hanna and Ryan (2012). As in the original table, schools were open in 78.7% of visits in treatment schools and 58.0% of visits in control schools. The estimated treatment effect, with SEs clustered at the school level in parentheses, is 0.207, SE 0.030. Rounding to match precision in the published table, I match all results. The 95% confidence interval is [14.9, 26.6].</w:t>
      </w:r>
    </w:p>
    <w:p>
      <w:pPr>
        <w:pStyle w:val="Reviewnote"/>
      </w:pPr>
      <w:r>
        <w:rPr>
          <w:b/>
        </w:rPr>
        <w:t xml:space="preserve">(N07 · Correction · source line 9 · “As in the original table, schools were open in 78.7%”: </w:t>
      </w:r>
      <w:r>
        <w:t>Say “My reconstruction gives 78.7% in treatment and 58.0% in control; these round to the published 0.79 and 0.58.” Replace “I match all results” with “I match the selected Table 2, Panel A estimates at their reported precision.” The reconstructed decimals are more precise than those displayed in the article. [E1: Table 2; E3]</w:t>
      </w:r>
      <w:r>
        <w:t>)</w:t>
      </w:r>
    </w:p>
    <w:p>
      <w:pPr>
        <w:pStyle w:val="Reviewnote"/>
      </w:pPr>
      <w:r>
        <w:rPr>
          <w:b/>
        </w:rPr>
        <w:t xml:space="preserve">(N08 · Requirement · source line 9 · “The 95% confidence interval is [14.9, 26.6]”: </w:t>
      </w:r>
      <w:r>
        <w:t>Add “percentage points.” The coefficient 0.207 and SE 0.030 are in probability units; the corresponding effect and SE are 20.7 and 3.0 percentage points. Use one explicit scale throughout the prose and each exhibit. Also change “SEs … in parentheses” if the final display is “SE 0.030” rather than “(0.030).” [E3; E5: p. 2]</w:t>
      </w:r>
      <w:r>
        <w:t>)</w:t>
      </w:r>
    </w:p>
    <w:p>
      <w:pPr>
        <w:pStyle w:val="Originalsource"/>
        <w:widowControl/>
      </w:pPr>
      <w:r>
        <w:t>In Table 10 of Duflo, Hanna and Ryan (2012), the sample consists of 2,197 children in 111 schools. I match the results in Table 10, which includes regressions of departure indicators on a constant and treatment status and report standard errors clustered by school. I use the algorithm in Duflo, Hanna and Ryan (2012): for a given child, first select the last five times they were checked when the school was open, from last to first. Next, recode whether or not they attended in those five instances, and sum up these recodes. If the result is 0, then this child has left. A child for which this is not true did not necessarily continue; this method of aggregation does not tell us that. The dependent variables are (1) an indicator for departure and (2) an indicator for departure for which we know the child moved to a government school.</w:t>
      </w:r>
    </w:p>
    <w:p>
      <w:pPr>
        <w:pStyle w:val="Reviewnote"/>
      </w:pPr>
      <w:r>
        <w:rPr>
          <w:b/>
        </w:rPr>
        <w:t xml:space="preserve">(N09 · Correction · source line 10 · “select the last five times they were checked when the school was open”: </w:t>
      </w:r>
      <w:r>
        <w:t>Say “the latest up to five observed checks when the school was open.” Some children have fewer than five. Zero summed recoded attendance defines recorded departure under the distributed rule; it does not establish permanent exit from education. Replace “then this child has left” with “then the child is classified as having departed under this rule.” [E2: reconstruction, lines 143–159; E4]</w:t>
      </w:r>
      <w:r>
        <w:t>)</w:t>
      </w:r>
    </w:p>
    <w:p>
      <w:pPr>
        <w:pStyle w:val="Reviewnote"/>
      </w:pPr>
      <w:r>
        <w:rPr>
          <w:b/>
        </w:rPr>
        <w:t xml:space="preserve">(N10 · Correction · source line 10 · “The dependent variables are (1)”: </w:t>
      </w:r>
      <w:r>
        <w:t>List all three replicated outcomes: recorded departure; recorded government-school marker; and residual departure, equal to departure minus the marker. These correspond to the original Table 10 rows “Child left NFE,” “Child enrolled in government school,” and “Child dropped out.” Retain the safer residual label because the third row does not verify dropout from education. [E1: Table 10; E2; E3]</w:t>
      </w:r>
      <w:r>
        <w:t>)</w:t>
      </w:r>
    </w:p>
    <w:p>
      <w:pPr>
        <w:pStyle w:val="Originalsource"/>
        <w:widowControl/>
      </w:pPr>
      <w:r>
        <w:t>I recreate this data on departure from the two raw data files. These files provide information on school id × child id and can be merged on to random checks using these identifiers and on to baseline data using these identifiers and random check time period = baseline. To determine departure, I follow the procedure above. Although parts of this process are unclear to me, I follow the attendance recodes in Duflo, Hanna and Ryan (2012) as well as their procedure for appending reason variables. In many instances the departure reason is blank; I code these as having left but the destination unknown. I divide departure up into an indicator for whether we know a child went to government school and an indicator for residual departure; these two outcomes sum to departure in my calculations. I chose the names of these categories carefully; the first is only a marker for whether or not we know that a child went to a government school, and not having this marker does not necessarily indicate leaving education. Appendix B describes this data more fully and discusses some inconsistencies between the numeric version of reasons children leave and a text version of these reasons.</w:t>
      </w:r>
    </w:p>
    <w:p>
      <w:pPr>
        <w:pStyle w:val="Reviewnote"/>
      </w:pPr>
      <w:r>
        <w:rPr>
          <w:b/>
        </w:rPr>
        <w:t xml:space="preserve">(N11 · Correction · source line 11 · “merged on to random checks using these identifiers”: </w:t>
      </w:r>
      <w:r>
        <w:t>Correct the joins: roster rows merge to school random-check records on school ID and visit year/month/day; child enrollment and baseline writing status merge on school ID and child ID. The fitted reconstruction does not merge the school random-check file on child ID or impose “random check time period = baseline” on the writing-status join. Name the two roster inputs (roster_rema2012.dta and rosterfin.dta) and move detailed join rules to Appendix B if needed. [E2: reconstruction, lines 100–136]</w:t>
      </w:r>
      <w:r>
        <w:t>)</w:t>
      </w:r>
    </w:p>
    <w:p>
      <w:pPr>
        <w:pStyle w:val="Reviewnote"/>
      </w:pPr>
      <w:r>
        <w:rPr>
          <w:b/>
        </w:rPr>
        <w:t xml:space="preserve">(N12 · Correction · source line 11 · “I code these as having left but the destination unknown”: </w:t>
      </w:r>
      <w:r>
        <w:t>Replace with “Attendance determines recorded departure first. A blank reason contributes no government-school marker; another selected record can still supply reason equal to ‘2’ for that child.” Blank reasons do not themselves create departure. The child-level marker requires recorded departure and at least one selected record with reason equal to “2”; it is not independently verified follow-up enrollment. Apply that definition to “we know” in this paragraph and later passages. [E2: reconstruction, lines 143–159]</w:t>
      </w:r>
      <w:r>
        <w:t>)</w:t>
      </w:r>
    </w:p>
    <w:p>
      <w:pPr>
        <w:pStyle w:val="Reviewnote"/>
      </w:pPr>
      <w:r>
        <w:rPr>
          <w:b/>
        </w:rPr>
        <w:t xml:space="preserve">(N13 · Requirement · source line 11 · “Although parts of this process are unclear to me”: </w:t>
      </w:r>
      <w:r>
        <w:t>Replace this general uncertainty with the specific documented issues: undocumented attendance codes and the numeric/text reason-field append convention. Track A requires an exact account of variable construction and missing-data treatment. It is appropriate to say that codebook meanings remain unresolved, while being precise about the implemented recodes. [E2; E4; E5: p. 3]</w:t>
      </w:r>
      <w:r>
        <w:t>)</w:t>
      </w:r>
    </w:p>
    <w:p>
      <w:pPr>
        <w:pStyle w:val="Originalsource"/>
        <w:widowControl/>
      </w:pPr>
      <w:r>
        <w:t>At the reported level of precision, I match the coefficients and SEs in the original Table 10. Treatment causes a statistically significant 8.4pp increase in departure, and a 10.1pp increase in departure to government schools.</w:t>
      </w:r>
    </w:p>
    <w:p>
      <w:pPr>
        <w:pStyle w:val="Reviewnote"/>
      </w:pPr>
      <w:r>
        <w:rPr>
          <w:b/>
        </w:rPr>
        <w:t xml:space="preserve">(N14 · Correction · source line 12 · “Treatment causes a statistically significant 8.4pp increase in departure”: </w:t>
      </w:r>
      <w:r>
        <w:t>Use “Assignment to the bundled program increased recorded departure by 8.4 percentage points (clustered SE 4.1 points; p = .044) and the recorded government-school marker by 10.1 points (SE 3.5 points).” The nominal 5% significance claim for total recorded departure is supported. Qualify the endpoints rather than implying verified educational withdrawal or transfer. [E3: Table 10 reproduction]</w:t>
      </w:r>
      <w:r>
        <w:t>)</w:t>
      </w:r>
    </w:p>
    <w:p>
      <w:pPr>
        <w:pStyle w:val="Originalsource"/>
        <w:widowControl/>
      </w:pPr>
      <w:r>
        <w:t>I next replicate the measure used in the original article. I find a −1.8 point change in residual departure. This calculation matches all child-level reference values provided in the replication package.</w:t>
      </w:r>
    </w:p>
    <w:p>
      <w:pPr>
        <w:pStyle w:val="Reviewnote"/>
      </w:pPr>
      <w:r>
        <w:rPr>
          <w:b/>
        </w:rPr>
        <w:t xml:space="preserve">(N15 · Requirement · source line 13 · “a −1.8 point change in residual departure”: </w:t>
      </w:r>
      <w:r>
        <w:t>Use “−1.8 percentage points (clustered SE 3.1 points; p = .564),” or ensure the referenced main table gives that uncertainty. The aggregate residual effect is not statistically distinguishable from zero. “All child-level reference values” should specify the reconstructed departure indicators, rather than every variable in the package. [E2; E3; E5: p. 2]</w:t>
      </w:r>
      <w:r>
        <w:t>)</w:t>
      </w:r>
    </w:p>
    <w:p>
      <w:pPr>
        <w:pStyle w:val="Originalsource"/>
        <w:widowControl/>
      </w:pPr>
      <w:r>
        <w:t>The estimates below use the main sample described in Duflo, Hanna and Ryan (2012). To facilitate matching to the study replication files, I drop two children with multiple baseline observations whose records disagree about the child’s test status, resulting in 2,195 children from 111 schools. The sample includes 1,136 children from 57 treated schools and 1,059 children from 54 control schools. Without adding data or measures or imposing passing score cutoffs on test scores, there are 1,798 “nonwriters” and 397 “writers.”</w:t>
      </w:r>
    </w:p>
    <w:p>
      <w:pPr>
        <w:pStyle w:val="Originalsource"/>
        <w:keepNext/>
        <w:widowControl/>
      </w:pPr>
      <w:r>
        <w:rPr>
          <w:b/>
        </w:rPr>
        <w:t>3. Extension</w:t>
      </w:r>
    </w:p>
    <w:p>
      <w:pPr>
        <w:pStyle w:val="Originalsource"/>
        <w:widowControl/>
      </w:pPr>
      <w:r>
        <w:t>A motivation for studying departures is that the Seva Mandir-operated centers can be stepping-stones towards enrollment into government schools by teaching children foundational skills. One reason treatment may have had heterogeneous effects on departures may be that it caused children who were better prepared to enter government schools (as proxied by participating in the written baseline test) to be more likely to leave the centers. Of course, any heterogeneity in departures could be due to a variety of other reasons, including other differences between writers and nonwriters or differential impacts of monitoring on measurement of writer versus nonwriter attendance. Duflo, Hanna and Ryan (2012) use this same distinction to analyze heterogeneous impacts of treatment on learning outcomes and attendance. This exercise examines whether writers and nonwriters differ in departures, regardless of whether those departures are due to entry to government schools or drop-out from education more broadly. Thus, these results should be viewed as exploratory, and do not estimate a treatment effect of ability or of writing.</w:t>
      </w:r>
    </w:p>
    <w:p>
      <w:pPr>
        <w:pStyle w:val="Reviewnote"/>
      </w:pPr>
      <w:r>
        <w:rPr>
          <w:b/>
        </w:rPr>
        <w:t xml:space="preserve">(N16 · Correction · source line 16 · “examines whether writers and nonwriters differ in departures”: </w:t>
      </w:r>
      <w:r>
        <w:t>Specify “whether the treatment effect on recorded departure differs between baseline writers and nonwriters.” This is a difference between two treatment effects, rather than simply a difference in departure levels. Keep the hypothesis about readiness tentative: written-test status is a coarse baseline preparation proxy, not a validated readiness or permanent-ability measure. Replace “drop-out from education” with “departure without the recorded government-school marker,” because educational dropout is not observed. [E1; E2; E3]</w:t>
      </w:r>
      <w:r>
        <w:t>)</w:t>
      </w:r>
    </w:p>
    <w:p>
      <w:pPr>
        <w:pStyle w:val="Originalsource"/>
        <w:widowControl/>
      </w:pPr>
      <w:r>
        <w:t>In Table 4, I estimate</w:t>
      </w:r>
    </w:p>
    <w:p>
      <w:pPr>
        <w:pStyle w:val="Reviewnote"/>
      </w:pPr>
      <w:r>
        <w:rPr>
          <w:b/>
        </w:rPr>
        <w:t xml:space="preserve">(N17 · Requirement · source line 17 · “In Table 4”: </w:t>
      </w:r>
      <w:r>
        <w:t>Choose final exhibit numbers and use them consistently. Here the model is assigned to Table 4, the main effects later to Table 2, and a placeholder to Table 3. Distinguish “original Table 10” from your own tables. A workable arrangement is Table 1 for replication, Table 2 for group treatment effects, and Table 3 for the three interaction outcomes; another consistent arrangement is acceptable. [E5: pp. 2–3]</w:t>
      </w:r>
      <w:r>
        <w:t>)</w:t>
      </w:r>
    </w:p>
    <w:p>
      <w:pPr>
        <w:pStyle w:val="Originalsource"/>
        <w:keepNext/>
        <w:keepLines/>
        <w:widowControl/>
      </w:pPr>
      <m:oMath>
        <m:sSub>
          <m:e>
            <m:r>
              <m:t>Y</m:t>
            </m:r>
          </m:e>
          <m:sub>
            <m:r>
              <m:t>isc</m:t>
            </m:r>
          </m:sub>
        </m:sSub>
        <m:r>
          <m:t> = </m:t>
        </m:r>
        <m:sSub>
          <m:e>
            <m:r>
              <m:t>α</m:t>
            </m:r>
          </m:e>
          <m:sub>
            <m:r>
              <m:t>s</m:t>
            </m:r>
          </m:sub>
        </m:sSub>
        <m:r>
          <m:t> + </m:t>
        </m:r>
        <m:sSub>
          <m:e>
            <m:r>
              <m:t>γ</m:t>
            </m:r>
          </m:e>
          <m:sub>
            <m:r>
              <m:t>sc</m:t>
            </m:r>
          </m:sub>
        </m:sSub>
        <m:r>
          <m:t> + </m:t>
        </m:r>
        <m:sSub>
          <m:e>
            <m:r>
              <m:t>λ</m:t>
            </m:r>
          </m:e>
          <m:sub>
            <m:r>
              <m:t>c</m:t>
            </m:r>
          </m:sub>
        </m:sSub>
        <m:r>
          <m:t> + </m:t>
        </m:r>
        <m:sSub>
          <m:e>
            <m:r>
              <m:t>τ</m:t>
            </m:r>
          </m:e>
          <m:sub>
            <m:r>
              <m:t>isc</m:t>
            </m:r>
          </m:sub>
        </m:sSub>
        <m:r>
          <m:t> × </m:t>
        </m:r>
        <m:sSub>
          <m:e>
            <m:r>
              <m:t>T</m:t>
            </m:r>
          </m:e>
          <m:sub>
            <m:r>
              <m:t>sc</m:t>
            </m:r>
          </m:sub>
        </m:sSub>
        <m:r>
          <m:t> + </m:t>
        </m:r>
        <m:sSub>
          <m:e>
            <m:r>
              <m:t>δ</m:t>
            </m:r>
          </m:e>
          <m:sub>
            <m:r>
              <m:t>isc</m:t>
            </m:r>
          </m:sub>
        </m:sSub>
        <m:r>
          <m:t> × (</m:t>
        </m:r>
        <m:sSub>
          <m:e>
            <m:r>
              <m:t>W</m:t>
            </m:r>
          </m:e>
          <m:sub>
            <m:r>
              <m:t>ic</m:t>
            </m:r>
          </m:sub>
        </m:sSub>
        <m:r>
          <m:t> × </m:t>
        </m:r>
        <m:sSub>
          <m:e>
            <m:r>
              <m:t>T</m:t>
            </m:r>
          </m:e>
          <m:sub>
            <m:r>
              <m:t>sc</m:t>
            </m:r>
          </m:sub>
        </m:sSub>
        <m:r>
          <m:t>) + </m:t>
        </m:r>
        <m:sSub>
          <m:e>
            <m:r>
              <m:t>ε</m:t>
            </m:r>
          </m:e>
          <m:sub>
            <m:r>
              <m:t>ics</m:t>
            </m:r>
          </m:sub>
        </m:sSub>
        <m:r>
          <m:t>     (1)</m:t>
        </m:r>
      </m:oMath>
    </w:p>
    <w:p>
      <w:pPr>
        <w:pStyle w:val="Reviewnote"/>
      </w:pPr>
      <w:r>
        <w:rPr>
          <w:b/>
        </w:rPr>
        <w:t xml:space="preserve">(N18 · Correction · source line 18 · “(1)”: </w:t>
      </w:r>
      <w:r>
        <w:t>Replace the displayed equation with the model below. The fitted primary model has a common intercept, treatment, a standalone baseline-writing indicator, and their interaction. It has no school, child, or class fixed effects and no observation-specific treatment coefficients. School fixed effects would absorb school-level treatment assignment. Block/geographic indicators belong only to the separate robustness specification. [E2: model; E3: primary_consensus_no_fe]</w:t>
      </w:r>
      <w:r>
        <w:t xml:space="preserve"> Suggested equation: </w:t>
      </w:r>
      <m:oMath>
        <m:sSub>
          <m:e>
            <m:r>
              <w:rPr>
                <w:color w:val="9C2424"/>
              </w:rPr>
              <m:t>Y</m:t>
            </m:r>
          </m:e>
          <m:sub>
            <m:r>
              <w:rPr>
                <w:color w:val="9C2424"/>
              </w:rPr>
              <m:t>is</m:t>
            </m:r>
          </m:sub>
        </m:sSub>
        <m:r>
          <w:rPr>
            <w:color w:val="9C2424"/>
          </w:rPr>
          <m:t> = α + τ </m:t>
        </m:r>
        <m:sSub>
          <m:e>
            <m:r>
              <w:rPr>
                <w:color w:val="9C2424"/>
              </w:rPr>
              <m:t>T</m:t>
            </m:r>
          </m:e>
          <m:sub>
            <m:r>
              <w:rPr>
                <w:color w:val="9C2424"/>
              </w:rPr>
              <m:t>s</m:t>
            </m:r>
          </m:sub>
        </m:sSub>
        <m:r>
          <w:rPr>
            <w:color w:val="9C2424"/>
          </w:rPr>
          <m:t> + β </m:t>
        </m:r>
        <m:sSub>
          <m:e>
            <m:r>
              <w:rPr>
                <w:color w:val="9C2424"/>
              </w:rPr>
              <m:t>W</m:t>
            </m:r>
          </m:e>
          <m:sub>
            <m:r>
              <w:rPr>
                <w:color w:val="9C2424"/>
              </w:rPr>
              <m:t>is</m:t>
            </m:r>
          </m:sub>
        </m:sSub>
        <m:r>
          <w:rPr>
            <w:color w:val="9C2424"/>
          </w:rPr>
          <m:t> + δ (</m:t>
        </m:r>
        <m:sSub>
          <m:e>
            <m:r>
              <w:rPr>
                <w:color w:val="9C2424"/>
              </w:rPr>
              <m:t>T</m:t>
            </m:r>
          </m:e>
          <m:sub>
            <m:r>
              <w:rPr>
                <w:color w:val="9C2424"/>
              </w:rPr>
              <m:t>s</m:t>
            </m:r>
          </m:sub>
        </m:sSub>
        <m:r>
          <w:rPr>
            <w:color w:val="9C2424"/>
          </w:rPr>
          <m:t> × </m:t>
        </m:r>
        <m:sSub>
          <m:e>
            <m:r>
              <w:rPr>
                <w:color w:val="9C2424"/>
              </w:rPr>
              <m:t>W</m:t>
            </m:r>
          </m:e>
          <m:sub>
            <m:r>
              <w:rPr>
                <w:color w:val="9C2424"/>
              </w:rPr>
              <m:t>is</m:t>
            </m:r>
          </m:sub>
        </m:sSub>
        <m:r>
          <w:rPr>
            <w:color w:val="9C2424"/>
          </w:rPr>
          <m:t>) + </m:t>
        </m:r>
        <m:sSub>
          <m:e>
            <m:r>
              <w:rPr>
                <w:color w:val="9C2424"/>
              </w:rPr>
              <m:t>ε</m:t>
            </m:r>
          </m:e>
          <m:sub>
            <m:r>
              <w:rPr>
                <w:color w:val="9C2424"/>
              </w:rPr>
              <m:t>is</m:t>
            </m:r>
          </m:sub>
        </m:sSub>
      </m:oMath>
      <w:r>
        <w:t>)</w:t>
      </w:r>
    </w:p>
    <w:p>
      <w:pPr>
        <w:pStyle w:val="Originalsource"/>
        <w:widowControl/>
      </w:pPr>
      <w:r>
        <w:t>where Y is an indicator for departure, T denotes treatment status of the child’s school, and W denotes whether the child took the written test in the baseline (“writer”) as opposed to oral test (“nonwriter”). I estimate a saturated version of this model, so the coefficients can be interpreted as the departure rate among nonwriters in control schools (α_s), nonwriters in treatment schools (α_s + τ_isc), writers in control schools (α_s + γ_sc), and writers in treatment schools (α_s + γ_sc + τ_isc + δ_isc). Thus τ is the treatment effect for nonwriters, τ + δ is the treatment effect for writers, and δ is the difference in these two treatment effects. This specification puts equal weight on each child. Standard errors clustered at the school level (with 110 degrees of freedom for critical t values) for the estimated treatment effect among writers account for covariance with δ.</w:t>
      </w:r>
    </w:p>
    <w:p>
      <w:pPr>
        <w:pStyle w:val="Reviewnote"/>
      </w:pPr>
      <w:r>
        <w:rPr>
          <w:b/>
        </w:rPr>
        <w:t xml:space="preserve">(N19 · Correction · source line 19 · “departure rate among nonwriters in control schools (α_s)”: </w:t>
      </w:r>
      <w:r>
        <w:t>Following the corrected equation, the four cell means are α, α + τ, α + β, and α + β + τ + δ. Replace γ with β and remove coefficient subscripts. Your interpretation of τ, τ + δ, and δ is correct. For the writer effect, the SE uses Var(τ) + Var(δ) + 2Cov(τ, δ); δ alone has its own clustered SE. [E2; E3]</w:t>
      </w:r>
      <w:r>
        <w:t>)</w:t>
      </w:r>
    </w:p>
    <w:p>
      <w:pPr>
        <w:pStyle w:val="Originalsource"/>
        <w:widowControl/>
      </w:pPr>
      <w:r>
        <w:t>The table reports three different outcomes in Y. Departed is the departure measure used by Duflo, Hanna and Ryan (2012). Government School is an indicator equal to one if the child is known to be attending a government school at follow-up. Residual Departure is Departed minus Government School. I conduct wild cluster bootstrap hypothesis tests that impose the null under test, follow-up-up 9,999 Rademacher randomization draws (using a random number seed of 20260922), and account for the finite number of clusters following Cameron, Gelbach and Miller (2008). The table reports wild bootstrap p-values for τ + δ (the departure rate differential for “Writers” relative to “nonwriters”) adjusted for multiple hypothesis testing using the procedure of Holm (1979). These results are exploratory as this correction does not account for the search discussed in Appendix C that considered a number of potential candidate exercises before turning to this analysis of heterogeneity.</w:t>
      </w:r>
    </w:p>
    <w:p>
      <w:pPr>
        <w:pStyle w:val="Reviewnote"/>
      </w:pPr>
      <w:r>
        <w:rPr>
          <w:b/>
        </w:rPr>
        <w:t xml:space="preserve">(N20 · Correction · source line 20 · “known to be attending a government school at follow-up”: </w:t>
      </w:r>
      <w:r>
        <w:t>Replace with “classified as departed and carrying a government-school reason marker in at least one selected record.” The marker is an operational reason-field outcome, not an independently verified follow-up attendance measure. Residual departure is the remaining recorded departures, including missing or unrecorded destinations. [E2: reconstruction, lines 143–159]</w:t>
      </w:r>
      <w:r>
        <w:t>)</w:t>
      </w:r>
    </w:p>
    <w:p>
      <w:pPr>
        <w:pStyle w:val="Reviewnote"/>
      </w:pPr>
      <w:r>
        <w:rPr>
          <w:b/>
        </w:rPr>
        <w:t xml:space="preserve">(N21 · Correction · source line 20 · “follow-up-up 9,999 Rademacher randomization draws”: </w:t>
      </w:r>
      <w:r>
        <w:t>Replace with “9,999 null-imposed school-level Rademacher wild-bootstrap-t draws, seed 20260922.” These are random signs applied at the school level to restricted residuals, not new random assignments of treatment. The tested null is δ = 0, while the treatment and writing main effects remain unrestricted. Delete the duplicated “follow-up-up.” [E2: scope, lines 200–243; E3: bootstrap summaries]</w:t>
      </w:r>
      <w:r>
        <w:t>)</w:t>
      </w:r>
    </w:p>
    <w:p>
      <w:pPr>
        <w:pStyle w:val="Reviewnote"/>
      </w:pPr>
      <w:r>
        <w:rPr>
          <w:b/>
        </w:rPr>
        <w:t xml:space="preserve">(N22 · Correction · source line 20 · “p-values for τ + δ”: </w:t>
      </w:r>
      <w:r>
        <w:t>Replace with “p-values for the interaction δ, the writer-minus-nonwriter difference in treatment effects.” τ + δ is the writer treatment effect. Holm adjusts the three conventional school-clustered interaction p-values; the supplementary wild-bootstrap p-values are reported separately and were not Holm-adjusted. Preserve the caveat that the three-outcome adjustment does not account for the earlier search across extension directions. [E3]</w:t>
      </w:r>
      <w:r>
        <w:t>)</w:t>
      </w:r>
    </w:p>
    <w:tbl>
      <w:tblPr>
        <w:tblW w:type="auto" w:w="0"/>
        <w:tblLayout w:type="fixed"/>
        <w:tblLook w:firstColumn="1" w:firstRow="1" w:lastColumn="0" w:lastRow="0" w:noHBand="0" w:noVBand="1" w:val="04A0"/>
        <w:tblBorders>
          <w:top w:val="single" w:sz="5" w:color="777777"/>
          <w:bottom w:val="single" w:sz="5" w:color="777777"/>
          <w:insideH w:val="single" w:sz="5" w:color="777777"/>
        </w:tblBorders>
      </w:tblPr>
      <w:tblGrid>
        <w:gridCol w:w="1569"/>
        <w:gridCol w:w="1569"/>
        <w:gridCol w:w="1569"/>
        <w:gridCol w:w="1569"/>
        <w:gridCol w:w="1569"/>
        <w:gridCol w:w="1569"/>
      </w:tblGrid>
      <w:tr>
        <w:trPr>
          <w:cantSplit/>
          <w:tblHeader/>
        </w:trPr>
        <w:tc>
          <w:tcPr>
            <w:tcW w:type="dxa" w:w="2098"/>
          </w:tcPr>
          <w:p>
            <w:pPr>
              <w:pStyle w:val="Originalsource"/>
              <w:keepNext w:val="0"/>
              <w:keepLines/>
              <w:spacing w:line="252" w:lineRule="auto" w:after="80" w:before="80"/>
            </w:pPr>
            <w:r>
              <w:rPr>
                <w:b/>
                <w:sz w:val="22"/>
              </w:rPr>
              <w:t>Interaction with baseline test</w:t>
            </w:r>
          </w:p>
        </w:tc>
        <w:tc>
          <w:tcPr>
            <w:tcW w:type="dxa" w:w="510"/>
          </w:tcPr>
          <w:p>
            <w:pPr>
              <w:pStyle w:val="Originalsource"/>
              <w:keepNext w:val="0"/>
              <w:keepLines/>
              <w:spacing w:line="252" w:lineRule="auto" w:after="80" w:before="80"/>
              <w:jc w:val="center"/>
            </w:pPr>
            <w:r>
              <w:rPr>
                <w:b/>
                <w:sz w:val="22"/>
              </w:rPr>
              <w:t>δ</w:t>
            </w:r>
          </w:p>
        </w:tc>
        <w:tc>
          <w:tcPr>
            <w:tcW w:type="dxa" w:w="1928"/>
          </w:tcPr>
          <w:p>
            <w:pPr>
              <w:pStyle w:val="Originalsource"/>
              <w:keepNext w:val="0"/>
              <w:keepLines/>
              <w:spacing w:line="252" w:lineRule="auto" w:after="80" w:before="80"/>
              <w:jc w:val="center"/>
            </w:pPr>
            <w:r>
              <w:rPr>
                <w:b/>
                <w:sz w:val="22"/>
              </w:rPr>
              <w:t>95% confidence interval</w:t>
            </w:r>
          </w:p>
        </w:tc>
        <w:tc>
          <w:tcPr>
            <w:tcW w:type="dxa" w:w="907"/>
          </w:tcPr>
          <w:p>
            <w:pPr>
              <w:pStyle w:val="Originalsource"/>
              <w:keepNext w:val="0"/>
              <w:keepLines/>
              <w:spacing w:line="252" w:lineRule="auto" w:after="80" w:before="80"/>
              <w:jc w:val="center"/>
            </w:pPr>
            <w:r>
              <w:rPr>
                <w:b/>
                <w:sz w:val="22"/>
              </w:rPr>
              <w:t>p-value</w:t>
            </w:r>
          </w:p>
        </w:tc>
        <w:tc>
          <w:tcPr>
            <w:tcW w:type="dxa" w:w="1417"/>
          </w:tcPr>
          <w:p>
            <w:pPr>
              <w:pStyle w:val="Originalsource"/>
              <w:keepNext w:val="0"/>
              <w:keepLines/>
              <w:spacing w:line="252" w:lineRule="auto" w:after="80" w:before="80"/>
              <w:jc w:val="center"/>
            </w:pPr>
            <w:r>
              <w:rPr>
                <w:b/>
                <w:sz w:val="22"/>
              </w:rPr>
              <w:t>p-value (Holm)</w:t>
            </w:r>
          </w:p>
        </w:tc>
        <w:tc>
          <w:tcPr>
            <w:tcW w:type="dxa" w:w="2551"/>
          </w:tcPr>
          <w:p>
            <w:pPr>
              <w:pStyle w:val="Originalsource"/>
              <w:keepNext w:val="0"/>
              <w:keepLines/>
              <w:spacing w:line="252" w:lineRule="auto" w:after="80" w:before="80"/>
              <w:jc w:val="center"/>
            </w:pPr>
            <w:r>
              <w:rPr>
                <w:b/>
                <w:sz w:val="22"/>
              </w:rPr>
              <w:t>p-value (wild-cluster bootstrap)</w:t>
            </w:r>
          </w:p>
        </w:tc>
      </w:tr>
      <w:tr>
        <w:trPr>
          <w:cantSplit/>
        </w:trPr>
        <w:tc>
          <w:tcPr>
            <w:tcW w:type="dxa" w:w="2098"/>
          </w:tcPr>
          <w:p>
            <w:pPr>
              <w:pStyle w:val="Originalsource"/>
              <w:keepNext w:val="0"/>
              <w:keepLines/>
              <w:spacing w:line="252" w:lineRule="auto" w:after="80" w:before="80"/>
            </w:pPr>
            <w:r>
              <w:rPr>
                <w:b w:val="0"/>
                <w:sz w:val="22"/>
              </w:rPr>
              <w:t>Government school</w:t>
            </w:r>
          </w:p>
        </w:tc>
        <w:tc>
          <w:tcPr>
            <w:tcW w:type="dxa" w:w="510"/>
          </w:tcPr>
          <w:p>
            <w:pPr>
              <w:pStyle w:val="Originalsource"/>
              <w:keepNext w:val="0"/>
              <w:keepLines/>
              <w:spacing w:line="252" w:lineRule="auto" w:after="80" w:before="80"/>
              <w:jc w:val="center"/>
            </w:pPr>
            <w:r>
              <w:rPr>
                <w:b w:val="0"/>
                <w:sz w:val="22"/>
              </w:rPr>
              <w:t>4.8</w:t>
            </w:r>
          </w:p>
        </w:tc>
        <w:tc>
          <w:tcPr>
            <w:tcW w:type="dxa" w:w="1928"/>
          </w:tcPr>
          <w:p>
            <w:pPr>
              <w:pStyle w:val="Originalsource"/>
              <w:keepNext w:val="0"/>
              <w:keepLines/>
              <w:spacing w:line="252" w:lineRule="auto" w:after="80" w:before="80"/>
              <w:jc w:val="center"/>
            </w:pPr>
            <w:r>
              <w:rPr>
                <w:b w:val="0"/>
                <w:sz w:val="22"/>
              </w:rPr>
              <w:t>[−10.5, 20.2]</w:t>
            </w:r>
          </w:p>
        </w:tc>
        <w:tc>
          <w:tcPr>
            <w:tcW w:type="dxa" w:w="907"/>
          </w:tcPr>
          <w:p>
            <w:pPr>
              <w:pStyle w:val="Originalsource"/>
              <w:keepNext w:val="0"/>
              <w:keepLines/>
              <w:spacing w:line="252" w:lineRule="auto" w:after="80" w:before="80"/>
              <w:jc w:val="center"/>
            </w:pPr>
            <w:r>
              <w:rPr>
                <w:b w:val="0"/>
                <w:sz w:val="22"/>
              </w:rPr>
              <w:t>.534</w:t>
            </w:r>
          </w:p>
        </w:tc>
        <w:tc>
          <w:tcPr>
            <w:tcW w:type="dxa" w:w="1417"/>
          </w:tcPr>
          <w:p>
            <w:pPr>
              <w:pStyle w:val="Originalsource"/>
              <w:keepNext w:val="0"/>
              <w:keepLines/>
              <w:spacing w:line="252" w:lineRule="auto" w:after="80" w:before="80"/>
              <w:jc w:val="center"/>
            </w:pPr>
            <w:r>
              <w:rPr>
                <w:b w:val="0"/>
                <w:sz w:val="22"/>
              </w:rPr>
            </w:r>
          </w:p>
        </w:tc>
        <w:tc>
          <w:tcPr>
            <w:tcW w:type="dxa" w:w="2551"/>
          </w:tcPr>
          <w:p>
            <w:pPr>
              <w:pStyle w:val="Originalsource"/>
              <w:keepNext w:val="0"/>
              <w:keepLines/>
              <w:spacing w:line="252" w:lineRule="auto" w:after="80" w:before="80"/>
              <w:jc w:val="center"/>
            </w:pPr>
            <w:r>
              <w:rPr>
                <w:b w:val="0"/>
                <w:sz w:val="22"/>
              </w:rPr>
            </w:r>
          </w:p>
        </w:tc>
      </w:tr>
      <w:tr>
        <w:trPr>
          <w:cantSplit/>
        </w:trPr>
        <w:tc>
          <w:tcPr>
            <w:tcW w:type="dxa" w:w="2098"/>
          </w:tcPr>
          <w:p>
            <w:pPr>
              <w:pStyle w:val="Originalsource"/>
              <w:keepNext w:val="0"/>
              <w:keepLines/>
              <w:spacing w:line="252" w:lineRule="auto" w:after="80" w:before="80"/>
            </w:pPr>
            <w:r>
              <w:rPr>
                <w:b w:val="0"/>
                <w:sz w:val="22"/>
              </w:rPr>
              <w:t>Departure: residual</w:t>
            </w:r>
          </w:p>
        </w:tc>
        <w:tc>
          <w:tcPr>
            <w:tcW w:type="dxa" w:w="510"/>
          </w:tcPr>
          <w:p>
            <w:pPr>
              <w:pStyle w:val="Originalsource"/>
              <w:keepNext w:val="0"/>
              <w:keepLines/>
              <w:spacing w:line="252" w:lineRule="auto" w:after="80" w:before="80"/>
              <w:jc w:val="center"/>
            </w:pPr>
            <w:r>
              <w:rPr>
                <w:b w:val="0"/>
                <w:sz w:val="22"/>
              </w:rPr>
              <w:t>16.3</w:t>
            </w:r>
          </w:p>
        </w:tc>
        <w:tc>
          <w:tcPr>
            <w:tcW w:type="dxa" w:w="1928"/>
          </w:tcPr>
          <w:p>
            <w:pPr>
              <w:pStyle w:val="Originalsource"/>
              <w:keepNext w:val="0"/>
              <w:keepLines/>
              <w:spacing w:line="252" w:lineRule="auto" w:after="80" w:before="80"/>
              <w:jc w:val="center"/>
            </w:pPr>
            <w:r>
              <w:rPr>
                <w:b w:val="0"/>
                <w:sz w:val="22"/>
              </w:rPr>
              <w:t>[4.6, 27.9]</w:t>
            </w:r>
          </w:p>
        </w:tc>
        <w:tc>
          <w:tcPr>
            <w:tcW w:type="dxa" w:w="907"/>
          </w:tcPr>
          <w:p>
            <w:pPr>
              <w:pStyle w:val="Originalsource"/>
              <w:keepNext w:val="0"/>
              <w:keepLines/>
              <w:spacing w:line="252" w:lineRule="auto" w:after="80" w:before="80"/>
              <w:jc w:val="center"/>
            </w:pPr>
            <w:r>
              <w:rPr>
                <w:b w:val="0"/>
                <w:sz w:val="22"/>
              </w:rPr>
              <w:t>.007</w:t>
            </w:r>
          </w:p>
        </w:tc>
        <w:tc>
          <w:tcPr>
            <w:tcW w:type="dxa" w:w="1417"/>
          </w:tcPr>
          <w:p>
            <w:pPr>
              <w:pStyle w:val="Originalsource"/>
              <w:keepNext w:val="0"/>
              <w:keepLines/>
              <w:spacing w:line="252" w:lineRule="auto" w:after="80" w:before="80"/>
              <w:jc w:val="center"/>
            </w:pPr>
            <w:r>
              <w:rPr>
                <w:b w:val="0"/>
                <w:sz w:val="22"/>
              </w:rPr>
              <w:t>.014</w:t>
            </w:r>
          </w:p>
        </w:tc>
        <w:tc>
          <w:tcPr>
            <w:tcW w:type="dxa" w:w="2551"/>
          </w:tcPr>
          <w:p>
            <w:pPr>
              <w:pStyle w:val="Originalsource"/>
              <w:keepNext w:val="0"/>
              <w:keepLines/>
              <w:spacing w:line="252" w:lineRule="auto" w:after="80" w:before="80"/>
              <w:jc w:val="center"/>
            </w:pPr>
            <w:r>
              <w:rPr>
                <w:b w:val="0"/>
                <w:sz w:val="22"/>
              </w:rPr>
              <w:t>.010</w:t>
            </w:r>
          </w:p>
        </w:tc>
      </w:tr>
    </w:tbl>
    <w:p>
      <w:pPr>
        <w:pStyle w:val="Reviewnote"/>
      </w:pPr>
      <w:r>
        <w:rPr>
          <w:b/>
        </w:rPr>
        <w:t xml:space="preserve">(N23 · Correction · source line 38 · “.010”: </w:t>
      </w:r>
      <w:r>
        <w:t>The displayed table has two rows even though line 20 says three outcomes. Add the total recorded-departure interaction row: 21.1 percentage points; 95% CI [6.9, 35.3]; clustered p = .004; Holm p = .012; wild-bootstrap p = .007. Fill the government-marker Holm cell with .534 and its wild-bootstrap cell with “—”, defined as not estimated/reported. Its wild p-value must not be invented. This repairs the stated three-outcome display; alternatively, clearly cross-reference another exhibit that shows the total interaction. [E3]</w:t>
      </w:r>
      <w:r>
        <w:t>)</w:t>
      </w:r>
    </w:p>
    <w:p>
      <w:pPr>
        <w:pStyle w:val="Originalsource"/>
        <w:widowControl/>
      </w:pPr>
      <w:r>
        <w:t>Notes: Table reports interaction coefficient δ from (1) on indicated outcome. Uses sample of 2,195 children in 111 schools. Under original study's coding, the estimates for government school and residual sum to the estimate for Departure in Table 2.</w:t>
      </w:r>
    </w:p>
    <w:p>
      <w:pPr>
        <w:pStyle w:val="Reviewnote"/>
      </w:pPr>
      <w:r>
        <w:rPr>
          <w:b/>
        </w:rPr>
        <w:t xml:space="preserve">(N24 · Correction · source line 39 · “sum to the estimate for Departure in Table 2”: </w:t>
      </w:r>
      <w:r>
        <w:t>Specify “the government-marker and residual interaction point estimates sum to the total recorded-departure interaction: 4.8 + 16.3 = 21.1 percentage points.” They do not sum to the aggregate 8.4-point replication effect. The decomposition applies to point estimates on the same sample/design; SEs, confidence intervals, and p-values do not add. Use the final total-interaction table reference. [E2; E3]</w:t>
      </w:r>
      <w:r>
        <w:t>)</w:t>
      </w:r>
    </w:p>
    <w:p>
      <w:pPr>
        <w:pStyle w:val="Reviewnote"/>
      </w:pPr>
      <w:r>
        <w:rPr>
          <w:b/>
        </w:rPr>
        <w:t xml:space="preserve">(N25 · Requirement · source line 39 · “Notes: Table reports interaction coefficient”: </w:t>
      </w:r>
      <w:r>
        <w:t>Add that confidence intervals and conventional p-values use SEs clustered over 111 schools, with 110 degrees of freedom; Holm covers the three δ tests; wild-bootstrap values use the stated null-imposed school procedure and are separate. Define all three outcomes and the dash. Explain any significance stars if you use them. Label estimates and confidence intervals as percentage points and use a publication-quality table in the final paper. The existing N = 2,195 and school count are correct. [E3; E5: p. 2]</w:t>
      </w:r>
      <w:r>
        <w:t>)</w:t>
      </w:r>
    </w:p>
    <w:p>
      <w:pPr>
        <w:pStyle w:val="Originalsource"/>
        <w:widowControl/>
      </w:pPr>
      <w:r>
        <w:t>and Duflo, Hanna and Ryan (2012) report it as exploratory. As above, I view these results as exploratory and the characterization of these children as high achievers as heuristic, not an empirical statement that these children were better students on average, any more than residual departure is actually a residual category.</w:t>
      </w:r>
    </w:p>
    <w:p>
      <w:pPr>
        <w:pStyle w:val="Reviewnote"/>
      </w:pPr>
      <w:r>
        <w:rPr>
          <w:b/>
        </w:rPr>
        <w:t xml:space="preserve">(N26 · Correction · source line 40 · “and Duflo, Hanna and Ryan (2012) report it as exploratory”: </w:t>
      </w:r>
      <w:r>
        <w:t>Delete or complete this fragment without attributing our exploratory departure interaction to the original authors. They did not report this interaction; the exploratory label applies to our extension after examining several directions. Replace “high achievers” with “baseline writers.” Residual departure really is the residual operational category; its limitation is that it does not identify dropout or any particular destination. [E1: Tables 7, 9, 10; E2; E3]</w:t>
      </w:r>
      <w:r>
        <w:t>)</w:t>
      </w:r>
    </w:p>
    <w:p>
      <w:pPr>
        <w:pStyle w:val="Originalsource"/>
        <w:widowControl/>
      </w:pPr>
      <w:r>
        <w:t>Table here: Table 3 about:</w:t>
      </w:r>
    </w:p>
    <w:p>
      <w:pPr>
        <w:pStyle w:val="Reviewnote"/>
      </w:pPr>
      <w:r>
        <w:rPr>
          <w:b/>
        </w:rPr>
        <w:t xml:space="preserve">(N27 · Requirement · source line 41 · “Table here: Table 3 about:”: </w:t>
      </w:r>
      <w:r>
        <w:t>Replace this placeholder with the numbered, titled table actually discussed. Likewise replace the Figure 1 placeholder on the next line with a numbered, titled figure using labeled units and uncertainty, or remove its references if it is not included. Table and figure numbering are separate sequences. A coefficient plot is recommended by the assignment and would suit these effects, but that specific figure type is not mandatory. [E5: pp. 2–3]</w:t>
      </w:r>
      <w:r>
        <w:t>)</w:t>
      </w:r>
    </w:p>
    <w:p>
      <w:pPr>
        <w:pStyle w:val="Originalsource"/>
        <w:widowControl/>
      </w:pPr>
      <w:r>
        <w:t>Figure here: Figure 1 about:</w:t>
      </w:r>
    </w:p>
    <w:p>
      <w:pPr>
        <w:pStyle w:val="Originalsource"/>
        <w:widowControl/>
      </w:pPr>
      <w:r>
        <w:t>I replicate the original paper’s estimate that monitoring caused children to leave Seva Mandir-run educational centers at higher rates (Duflo, Hanna and Ryan (2012) table 10 (E112523V1)). My reconstruction of their dependent variable Leaving the center shows an estimated treatment effect of 8.4 percentage points, as did the original study, matching the coefficients and standard errors in the original Table 10 at their reported precision.</w:t>
      </w:r>
    </w:p>
    <w:p>
      <w:pPr>
        <w:pStyle w:val="Reviewnote"/>
      </w:pPr>
      <w:r>
        <w:rPr>
          <w:b/>
        </w:rPr>
        <w:t xml:space="preserve">(N28 · Correction · source line 43 · “8.4 percentage points, as did the original study”: </w:t>
      </w:r>
      <w:r>
        <w:t>Say “My reconstruction gives 8.4 percentage points, which rounds to the published 0.08.” Keep “recorded departure” and “bundled program” here. The journal table displays a rounded 8-point effect; 8.4 is our reconstruction at finer precision. [E1: Table 10; E3]</w:t>
      </w:r>
      <w:r>
        <w:t>)</w:t>
      </w:r>
    </w:p>
    <w:p>
      <w:pPr>
        <w:pStyle w:val="Reviewnote"/>
      </w:pPr>
      <w:r>
        <w:rPr>
          <w:b/>
        </w:rPr>
        <w:t xml:space="preserve">(N29 · Requirement · source line 43 · “(Duflo, Hanna and Ryan (2012) table 10 (E112523V1))”: </w:t>
      </w:r>
      <w:r>
        <w:t>Use one author-date convention throughout. For example, “Duflo, Hanna, and Ryan (2012, Table 10)” in text avoids nested citations. Check the similar forms in lines 5, 44, and 49. Consistent APA or Chicago author-date is an explicit requirement. [E5: p. 1]</w:t>
      </w:r>
      <w:r>
        <w:t>)</w:t>
      </w:r>
    </w:p>
    <w:p>
      <w:pPr>
        <w:pStyle w:val="Reviewnote"/>
      </w:pPr>
      <w:r>
        <w:rPr>
          <w:b/>
        </w:rPr>
        <w:t xml:space="preserve">(N30 · Clarity · source line 43 · “E112523V1”: </w:t>
      </w:r>
      <w:r>
        <w:t>For clear provenance, cite the replication dataset separately as Version 1, DOI 10.3886/E112523V1, rather than treating the package ID as the journal-table reference. This is a provenance suggestion; the assignment does not prescribe this exact dataset-entry format. [E6]</w:t>
      </w:r>
      <w:r>
        <w:t>)</w:t>
      </w:r>
    </w:p>
    <w:p>
      <w:pPr>
        <w:pStyle w:val="Originalsource"/>
        <w:widowControl/>
      </w:pPr>
      <w:r>
        <w:t>Next I explore whether children’s departure from these centers may have varied based on their performance in a baseline test. In the original study’s tables 7 and 9 (E112523V1), Duflo, Hanna and Ryan (2012) explore heterogeneity based on whether children could take a written or only an oral pretest in tables of treatment effects on presence at the center (table 7) and treatment effects on test scores (table 9), respectively. They do not do this heterogeneity analysis in table 10 on leaving the center (E112523V1).</w:t>
      </w:r>
    </w:p>
    <w:p>
      <w:pPr>
        <w:pStyle w:val="Reviewnote"/>
      </w:pPr>
      <w:r>
        <w:rPr>
          <w:b/>
        </w:rPr>
        <w:t xml:space="preserve">(N31 · Correction · source line 44 · “based on their performance in a baseline test”: </w:t>
      </w:r>
      <w:r>
        <w:t>Use “by baseline written-versus-oral test status.” This extension uses the existing protocol indicator, not the child’s achieved score or a passing-score cutoff. Apply that wording to “performance,” “ability,” and “children who could write” later in the excerpt. Your statement that original Table 10 does not report this particular heterogeneity analysis is supported. [E1: Tables 7, 9, 10; E2; E3]</w:t>
      </w:r>
      <w:r>
        <w:t>)</w:t>
      </w:r>
    </w:p>
    <w:p>
      <w:pPr>
        <w:pStyle w:val="Originalsource"/>
        <w:widowControl/>
      </w:pPr>
      <w:r>
        <w:t>For this exploratory analysis, I interact treatment with being able to take the written (versus oral) pretest on my reconstruction of their leaving-the-center dependent variable. As before, I cluster by school, estimate an OLS model as in equation (1), and use the wild-cluster bootstrap suggested by Cameron, Gelbach and Miller (2008).</w:t>
      </w:r>
    </w:p>
    <w:p>
      <w:pPr>
        <w:pStyle w:val="Originalsource"/>
        <w:widowControl/>
      </w:pPr>
      <w:r>
        <w:t>Table 2 reports results. Column 1 replicates the original table’s coefficient. Columns 2–3 report an interaction analysis. I leave out the two children in my sample of 2,195 who happened to be included in my replication of their reported average. I do not report the original coefficient and this new coefficient together because (a) they use slightly different samples, (b) the standard errors would not be comparable because these columns 2 and 3 are interactions, and (c) they are substantively different: the first column reports the treatment-control difference in departure, on average, while columns 2 and 3 report treatment-control differences by performance on a baseline test. Figure 1 graphs the results of columns 2–3.</w:t>
      </w:r>
    </w:p>
    <w:p>
      <w:pPr>
        <w:pStyle w:val="Reviewnote"/>
      </w:pPr>
      <w:r>
        <w:rPr>
          <w:b/>
        </w:rPr>
        <w:t xml:space="preserve">(N32 · Correction · source line 46 · “leave out the two children in my sample of 2,195”: </w:t>
      </w:r>
      <w:r>
        <w:t>Replace with “The aggregate replication uses 2,197 children. I exclude the two eligible children with conflicting baseline-writing records before the interaction analysis, leaving 2,195.” Line 14 already states this correctly. The present wording could imply a further reduction to 2,193. [E2; E3]</w:t>
      </w:r>
      <w:r>
        <w:t>)</w:t>
      </w:r>
    </w:p>
    <w:p>
      <w:pPr>
        <w:pStyle w:val="Reviewnote"/>
      </w:pPr>
      <w:r>
        <w:rPr>
          <w:b/>
        </w:rPr>
        <w:t xml:space="preserve">(N33 · Correction · source line 46 · “the standard errors would not be comparable”: </w:t>
      </w:r>
      <w:r>
        <w:t>Delete this reason. All SEs can be reported on the same probability/percentage-point scale with the same school clustering. The estimates differ in estimand and slightly in sample, so label those differences explicitly. Also reconcile “Column 1 replicates” with “I do not report … together.” Columns giving nonwriter and writer effects contain τ and τ + δ, not two interaction coefficients. [E2; E3]</w:t>
      </w:r>
      <w:r>
        <w:t>)</w:t>
      </w:r>
    </w:p>
    <w:p>
      <w:pPr>
        <w:pStyle w:val="Originalsource"/>
        <w:widowControl/>
      </w:pPr>
      <w:r>
        <w:t>Results indicate a 26.1 percentage point treatment-control difference in departure for children who could write (“Writer” column) and a 5.0 percentage point difference for children who could not (“nonwriter” column). These numbers should not be interpreted as before-and-after changes among the same children: they are treatment-control comparisons among different children. Nor can we interpret children who could not write as unaffected by the program, as their confidence interval is wide enough to include small negative or greater than ten point effects. The interaction term shows that children who could write had a 21.1 (95 percent CI: [6.9, 35.3]) point larger effect on departure from educational centers than did children who could not.¹⁷ The p-value on this interaction term is .004 using clustered standard errors and .007 using the wild-cluster bootstrap suggested in Cameron, Gelbach and Miller (2008), as in the original paper. With three departure outcomes tested, a Holm-adjusted p-value is .012.</w:t>
      </w:r>
    </w:p>
    <w:p>
      <w:pPr>
        <w:pStyle w:val="Reviewnote"/>
      </w:pPr>
      <w:r>
        <w:rPr>
          <w:b/>
        </w:rPr>
        <w:t xml:space="preserve">(N34 · Requirement · source line 47 · “26.1 percentage point treatment-control difference”: </w:t>
      </w:r>
      <w:r>
        <w:t>These point estimates are correct. Supply their uncertainty in the referenced table or here: writer effect 26.1, 95% CI [10.0, 42.3]; nonwriter effect 5.0, 95% CI [−2.4, 12.4], all in percentage points. The direct difference 21.1, CI [6.9, 35.3], and its p-values are also correct. Do not infer heterogeneity merely from one subgroup being significant and the other not; the δ test already supplies the right comparison. [E3; E5: p. 2]</w:t>
      </w:r>
      <w:r>
        <w:t>)</w:t>
      </w:r>
    </w:p>
    <w:p>
      <w:pPr>
        <w:pStyle w:val="Reviewnote"/>
      </w:pPr>
      <w:r>
        <w:rPr>
          <w:b/>
        </w:rPr>
        <w:t xml:space="preserve">(N35 · Correction · source line 47 · “as in the original paper”: </w:t>
      </w:r>
      <w:r>
        <w:t>Delete this attribution after the wild-bootstrap statement. School-clustered SEs reproduce the original inference convention; the wild-bootstrap and Holm checks are additions in this extension. [E1: Tables 2, 9, 10; E3]</w:t>
      </w:r>
      <w:r>
        <w:t>)</w:t>
      </w:r>
    </w:p>
    <w:p>
      <w:pPr>
        <w:pStyle w:val="Originalsource"/>
        <w:widowControl/>
      </w:pPr>
      <w:r>
        <w:t>This analysis says nothing about why or where these children went when they left: was departure because they found a place in a government school or for some other reason? I next estimate the same model, with the interaction between Treatment_i and Writer_i on more refined outcomes in table 3. The interaction with baseline ability is much larger on Departure: residual than on Government school, though I hesitate to make strong statements about these children’s destinations based on one being classified as residual.</w:t>
      </w:r>
    </w:p>
    <w:p>
      <w:pPr>
        <w:pStyle w:val="Reviewnote"/>
      </w:pPr>
      <w:r>
        <w:rPr>
          <w:b/>
        </w:rPr>
        <w:t xml:space="preserve">(N36 · Correction · source line 48 · “interaction with baseline ability is much larger”: </w:t>
      </w:r>
      <w:r>
        <w:t>Say “The residual-departure interaction has a larger point estimate than the government-marker interaction (16.3 versus 4.8 percentage points).” No direct residual-minus-government contrast test was reported, so this is a point-estimate comparison, not an established difference between the two effects. Use baseline writing status rather than ability. [E3]</w:t>
      </w:r>
      <w:r>
        <w:t>)</w:t>
      </w:r>
    </w:p>
    <w:p>
      <w:pPr>
        <w:pStyle w:val="Originalsource"/>
        <w:widowControl/>
      </w:pPr>
      <w:r>
        <w:t>Results do not contradict those reported in the original study’s table 7, which found that more hours of instruction due to more days that the school was open (Duflo, Hanna and Ryan (2012) table 7 (E112523V1)), because this table limits its analysis to children who stayed at the center and reports that presence was 14 percentage points higher for children who could only take the oral pretest and 10 points higher for those who could take the written test, a difference that is not significant. Nor do these results necessarily indicate that the children who benefited the most in learning (the original table 9 finds that children who could take the written pretest had significantly higher gains in learning) are the same children who transferred out, nor do they track what happened to individual children on all three margins (presence, learning, destination). My results in table 2 extend the original study’s table 10 by splitting its reported dependent variable Leaving the center up by the groups in baseline tests that the original authors used in tables 7 and 9.</w:t>
      </w:r>
    </w:p>
    <w:p>
      <w:pPr>
        <w:pStyle w:val="Reviewnote"/>
      </w:pPr>
      <w:r>
        <w:rPr>
          <w:b/>
        </w:rPr>
        <w:t xml:space="preserve">(N37 · Correction · source line 49 · “significantly higher gains in learning”: </w:t>
      </w:r>
      <w:r>
        <w:t>Replace with “larger estimated learning gains among baseline writers.” Original Table 9 reports subgroup estimates; it does not report a formal equality test establishing that writer gains exceed nonwriter gains. Also qualify Table 7 as a comparison among children who stayed, a sample selected after treatment. Its 14-versus-10-point comparison does not by itself explain why particular children departed. [E1: printed pp. 1271–1274]</w:t>
      </w:r>
      <w:r>
        <w:t>)</w:t>
      </w:r>
    </w:p>
    <w:p>
      <w:pPr>
        <w:pStyle w:val="Originalsource"/>
        <w:widowControl/>
      </w:pPr>
      <w:r/>
    </w:p>
    <w:p>
      <w:pPr>
        <w:pStyle w:val="Originalsource"/>
        <w:widowControl/>
      </w:pPr>
      <w:r>
        <w:t>Table 3 shows results for departure from baseline school and departure to government school, under the definitions of departure from baseline school given above. I report all three to be clear about the limitation. Under these definitions, the first two sum to departure as coded originally. The government school estimate does not provide evidence that writers were more likely to move into government schools, but the residual departure interaction estimate is precise, both without (p = .007) and with adjustments for multiple hypothesis testing. Departure without a government school flag includes all other departures, including missing. The interpretation in the original paper of an increase in the move to government schools overall motivated this exercise, but such a pattern is not able to explain the difference between the groups.</w:t>
      </w:r>
    </w:p>
    <w:p>
      <w:pPr>
        <w:pStyle w:val="Reviewnote"/>
      </w:pPr>
      <w:r>
        <w:rPr>
          <w:b/>
        </w:rPr>
        <w:t xml:space="preserve">(N38 · Correction · source line 51 · “the first two sum to departure as coded originally”: </w:t>
      </w:r>
      <w:r>
        <w:t>Name the components explicitly: “The government-marker and residual-departure interaction estimates sum to the total recorded-departure interaction.” This avoids implying that total departure plus the government marker sums to departure. “Including missing” means departures with missing destination reasons, not that every missing attendance or reason is automatically a departure. [E2; E3]</w:t>
      </w:r>
      <w:r>
        <w:t>)</w:t>
      </w:r>
    </w:p>
    <w:p>
      <w:pPr>
        <w:pStyle w:val="Reviewnote"/>
      </w:pPr>
      <w:r>
        <w:rPr>
          <w:b/>
        </w:rPr>
        <w:t xml:space="preserve">(N39 · Correction · source line 51 · “such a pattern is not able to explain the difference between the groups”: </w:t>
      </w:r>
      <w:r>
        <w:t>Replace with “The recorded government-school marker does not establish a larger treatment effect for writers than nonwriters; its interaction is 4.8 percentage points, with CI [−10.5, 20.2]. Missing destination records prevent a stronger conclusion about actual transfers.” A nonsignificant marker interaction does not rule out a transfer explanation, nor test whether the absolute treatment effect among writers is zero. [E3; E4]</w:t>
      </w:r>
      <w:r>
        <w:t>)</w:t>
      </w:r>
    </w:p>
    <w:p>
      <w:pPr>
        <w:pStyle w:val="Reviewnote"/>
      </w:pPr>
      <w:r>
        <w:rPr>
          <w:b/>
        </w:rPr>
        <w:t xml:space="preserve">(N40 · Clarity · source line 51 · “I report all three to be clear about the limitation”: </w:t>
      </w:r>
      <w:r>
        <w:t>Frame these outcomes as a decomposition diagnostic within the single baseline-writing extension. Track A asks for one main point and one sensible change; this framing preserves the same heterogeneity question rather than opening a separate destination study. Your caveat about interpretation is useful. [E5: p. 3]</w:t>
      </w:r>
      <w:r>
        <w:t>)</w:t>
      </w:r>
    </w:p>
    <w:p>
      <w:pPr>
        <w:pStyle w:val="Originalsource"/>
        <w:widowControl/>
      </w:pPr>
      <w:r>
        <w:t>Results for departure are limited in important ways that should be kept in mind when considering their meaning. First, as discussed above, some children have fewer than five checks in which the baseline school is open, and some have a coded reason for departure that does not appear in the available codebooks. Among the main sample used above, there are 145 with insufficient observations and 113 with unknown codes; 28 are in both groups, so that in total there are 230 with at least one of the problems. For consistency with the original paper I leave the observations coded as they were, but distinguish these from random sampling issues. Results controlling for region of baseline school and limiting the sample to end in December 2005 (to minimize the observations with fewer than five checks) are in Appendix A. Additional results excluding children with departure coded in a way not in the codebooks and bounding the interaction effect under assumptions about departure among children with problems are also presented. Departure interaction estimates are positive in all cases, although exclusion changes the sample and bounding relies on other observations in the sample. None of these solutions deal with the important limitations noted next.</w:t>
      </w:r>
    </w:p>
    <w:p>
      <w:pPr>
        <w:pStyle w:val="Reviewnote"/>
      </w:pPr>
      <w:r>
        <w:rPr>
          <w:b/>
        </w:rPr>
        <w:t xml:space="preserve">(N41 · Correction · source line 52 · “some have a coded reason for departure that does not appear in the available codebooks”: </w:t>
      </w:r>
      <w:r>
        <w:t>Replace with “113 recorded-departure classifications involve attendance values whose meanings are not established by the supplied codebook.” These are undocumented attendance sentinel codes, not unknown departure-reason codes. The counts 145, 113, overlap 28, and union 230 are correct for the 2,195-child extension sample. Also correct “excluding children with departure coded” to “excluding the 113 ambiguous attendance-based departure classifications.” [E4]</w:t>
      </w:r>
      <w:r>
        <w:t>)</w:t>
      </w:r>
    </w:p>
    <w:p>
      <w:pPr>
        <w:pStyle w:val="Reviewnote"/>
      </w:pPr>
      <w:r>
        <w:rPr>
          <w:b/>
        </w:rPr>
        <w:t xml:space="preserve">(N42 · Correction · source line 52 · “to minimize the observations with fewer than five checks”: </w:t>
      </w:r>
      <w:r>
        <w:t>Replace with “to test dependence on the final January–February 2006 endpoint records, whose appended reason values become blank under the distributed Stata convention.” The fixed December 31, 2005 cutoff was not chosen to minimize short histories; an earlier cutoff can reduce observed checks. Describe the regional check as adding existing school-block/geographic indicators, without calling them verified randomization strata. Keep the detailed results in the appendix. [E2: scope, lines 11–15, 38–41, 88–96; E4; E5: p. 3]</w:t>
      </w:r>
      <w:r>
        <w:t>)</w:t>
      </w:r>
    </w:p>
    <w:p>
      <w:pPr>
        <w:pStyle w:val="Reviewnote"/>
      </w:pPr>
      <w:r>
        <w:rPr>
          <w:b/>
        </w:rPr>
        <w:t xml:space="preserve">(N43 · Clarity · source line 52 · “bounding relies on other observations in the sample”: </w:t>
      </w:r>
      <w:r>
        <w:t>Be precise: these bounds vary the ambiguous children’s binary departure classifications while holding the other observed records fixed. They are algebraic observed-sample ranges, not confidence intervals or proof of statistical significance under every coding. The exclusion check changes the sample. Retain the present warning that none repairs treatment-dependent observation windows. [E4]</w:t>
      </w:r>
      <w:r>
        <w:t>)</w:t>
      </w:r>
    </w:p>
    <w:p>
      <w:pPr>
        <w:pStyle w:val="Originalsource"/>
        <w:widowControl/>
      </w:pPr>
      <w:r>
        <w:t>Second and most important, because treatment increased the opening of schools, it affected measurement of whether children attended school. Departure is measured based on the last checks at which the school is open, and thus the last time at which it is possible the child would appear in the data. On average, schools were open for 15.4 (20.4) of the checks for children in control (treatment) who went to schools run by nonwriters, and 15.2 (21.9) of checks for children who went to schools run by writers. Thus the last five times in which a school is open could occur in very different time periods, depending on whether the school is in treatment or control and whether its principal was a writer. Randomization still allows comparison of groups, but makes this far from an obvious interpretation as a common treatment-proof measure of exiting education. A child not present in all five checks could have left education, moved, or just happened to not go on those days. A child who was present some days may or may not have been in school the entire time.6 It is unclear how much of the interaction effect above reflects changes in educational participation and how much the mechanics of measuring educational participation. Finally, across the sample chosen, the reason for departure is missing for 66.4% of observations, which limits interpretation of the departure measure. In short, using the rules of departure given originally, the table provides evidence that treatment caused recorded departure from the baseline school to increase more for children who went to schools run by writers than nonwriters. More general implications for education are less clear.</w:t>
      </w:r>
    </w:p>
    <w:p>
      <w:pPr>
        <w:pStyle w:val="Reviewnote"/>
      </w:pPr>
      <w:r>
        <w:rPr>
          <w:b/>
        </w:rPr>
        <w:t xml:space="preserve">(N44 · Correction · source line 53 · “schools run by nonwriters”: </w:t>
      </w:r>
      <w:r>
        <w:t>Writer/nonwriter describes children, not teachers, principals, or the people running schools. Replace the four affected spans here: “children … who went to schools run by nonwriters” → “baseline nonwriter children”; “schools run by writers” → “baseline writer children”; “whether its principal was a writer” → “the child’s baseline writing status”; and the final “children who went to schools run by writers than nonwriters” → “baseline writers than baseline nonwriters.” The open-check means 15.4/20.4 and 15.2/21.9 are correctly reported for those child groups. [E2; E3; E4]</w:t>
      </w:r>
      <w:r>
        <w:t>)</w:t>
      </w:r>
    </w:p>
    <w:p>
      <w:pPr>
        <w:pStyle w:val="Reviewnote"/>
      </w:pPr>
      <w:r>
        <w:rPr>
          <w:b/>
        </w:rPr>
        <w:t xml:space="preserve">(N45 · Correction · source line 53 · “reason for departure is missing for 66.4% of observations”: </w:t>
      </w:r>
      <w:r>
        <w:t>Specify the denominator: “Reason fields are blank in 7,112 of 10,707 selected open-school check records (66.4%).” This is a check-record share, not the share of the 2,195 children or the share of departures with unknown destinations. A blank reason on a nondeparture check is not necessarily missing destination information. [E4: measurement summary]</w:t>
      </w:r>
      <w:r>
        <w:t>)</w:t>
      </w:r>
    </w:p>
    <w:p>
      <w:pPr>
        <w:pStyle w:val="Reviewnote"/>
      </w:pPr>
      <w:r>
        <w:rPr>
          <w:b/>
        </w:rPr>
        <w:t xml:space="preserve">(N46 · Clarity · source line 53 · “common treatment-proof measure of exiting education”: </w:t>
      </w:r>
      <w:r>
        <w:t>Use “a treatment-independent measure of permanent educational exit.” Your central warning is sound: treatment affects opportunities to observe children in open schools, so a causal effect on the recorded endpoint need not be a causal effect on leaving education. Keep the conclusion limited to recorded NFE departure and the child-level subgroup difference. [E2; E4]</w:t>
      </w:r>
      <w:r>
        <w:t>)</w:t>
      </w:r>
    </w:p>
    <w:p>
      <w:pPr>
        <w:pStyle w:val="Heading1"/>
      </w:pPr>
      <w:r>
        <w:t>Requirements affecting the complete manuscript</w:t>
      </w:r>
    </w:p>
    <w:p>
      <w:r>
        <w:t>The pasted material contains Sections 2–3. The absence here of an abstract, introduction, conclusion, full references, or AI statement is not evidence that the full paper omits them. Check those components in the complete manuscript. [E5]</w:t>
      </w:r>
    </w:p>
    <w:p>
      <w:pPr>
        <w:pStyle w:val="Reviewnote"/>
      </w:pPr>
      <w:r>
        <w:rPr>
          <w:b/>
        </w:rPr>
        <w:t xml:space="preserve">(Full-paper check: </w:t>
      </w:r>
      <w:r>
        <w:t>Track A aims for 10–12 main-text pages, excluding references and appendices. The guideline says the number of pages does not matter; it is an aim, not a rigid cap. Keep replication around 2–3 pages (20–30%) and the extension around 4–6 pages (60–70%). The review copy’s page count does not measure your submission length. [E5])</w:t>
      </w:r>
    </w:p>
    <w:p>
      <w:pPr>
        <w:pStyle w:val="Reviewnote"/>
      </w:pPr>
      <w:r>
        <w:rPr>
          <w:b/>
        </w:rPr>
        <w:t xml:space="preserve">(Full-paper check: </w:t>
      </w:r>
      <w:r>
        <w:t>State one main contribution: treatment-effect heterogeneity in recorded departure by baseline writing status. Keep the destination decomposition secondary and put detailed robustness checks in appendices. The excerpt repeats the replication result and model several times (especially lines 43–47); consolidate repetitions so each paragraph advances that point. This follows the explicit concise-writing rule. [E5])</w:t>
      </w:r>
    </w:p>
    <w:p>
      <w:pPr>
        <w:pStyle w:val="Reviewnote"/>
      </w:pPr>
      <w:r>
        <w:rPr>
          <w:b/>
        </w:rPr>
        <w:t xml:space="preserve">(Full-paper check: </w:t>
      </w:r>
      <w:r>
        <w:t>Weave relevant literature into the introduction; the instructions ask for no separate literature-review section. Include only works cited in the reference list and use one author-date convention. [E5])</w:t>
      </w:r>
    </w:p>
    <w:p>
      <w:pPr>
        <w:pStyle w:val="Reviewnote"/>
      </w:pPr>
      <w:r>
        <w:rPr>
          <w:b/>
        </w:rPr>
        <w:t xml:space="preserve">(Full-paper check: </w:t>
      </w:r>
      <w:r>
        <w:t>The submission is a PDF named Lastname_Paper.pdf. Page 1 contains title, name, and an abstract under 150 words; no separate cover. Use 12-point text, 1.5 spacing, numbered pages, and numbered sections. Remove “(edited),” the date, and @Shay only if those source-header items have entered the manuscript itself. [E5])</w:t>
      </w:r>
    </w:p>
    <w:p>
      <w:pPr>
        <w:pStyle w:val="Reviewnote"/>
      </w:pPr>
      <w:r>
        <w:rPr>
          <w:b/>
        </w:rPr>
        <w:t xml:space="preserve">(Full-paper check: </w:t>
      </w:r>
      <w:r>
        <w:t>Resolve footnote markers ¹, ², ¹⁷, and the trailing 6 against the actual full-document footnotes. An unresolved pasted marker is not proof that the manuscript footnote is absent. [E5])</w:t>
      </w:r>
    </w:p>
    <w:p>
      <w:pPr>
        <w:pStyle w:val="Reviewnote"/>
      </w:pPr>
      <w:r>
        <w:rPr>
          <w:b/>
        </w:rPr>
        <w:t xml:space="preserve">(Full-paper check: </w:t>
      </w:r>
      <w:r>
        <w:t>The complete AI Use Statement must describe actual coding, analysis, drafting, and editing assistance. The course encourages AI coding assistance and strongly discourages outsourcing substantive writing. It permits controlled polishing with itemized changes; this review leaves the decisions with you. Keep the conversation transcripts. [E5])</w:t>
      </w:r>
    </w:p>
    <w:p>
      <w:pPr>
        <w:pStyle w:val="Reviewnote"/>
      </w:pPr>
      <w:r>
        <w:rPr>
          <w:b/>
        </w:rPr>
        <w:t xml:space="preserve">(Full-paper check: </w:t>
      </w:r>
      <w:r>
        <w:t>Ensure submitted code reproduces every final table and figure, with a README containing author, title, environment, and commands. A shareable-folder link is strongly encouraged. Tables and figures must be publication quality; a coefficient plot is recommended, and the final-paper rules prohibit pie charts in the manuscript. [E5])</w:t>
      </w:r>
    </w:p>
    <w:p>
      <w:pPr>
        <w:pStyle w:val="Heading1"/>
      </w:pPr>
      <w:r>
        <w:t>Evidence key</w:t>
      </w:r>
    </w:p>
    <w:p>
      <w:pPr>
        <w:spacing w:line="276" w:lineRule="auto"/>
      </w:pPr>
      <w:r>
        <w:rPr>
          <w:b/>
        </w:rPr>
        <w:t xml:space="preserve">E1 — </w:t>
      </w:r>
      <w:r>
        <w:t>Duflo, Esther, Rema Hanna, and Stephen P. Ryan. 2012. “Incentives Work: Getting Teachers to Come to School.” American Economic Review 102(4): 1241–1278. DOI: 10.1257/aer.102.4.1241. Local original: seminar_paper_drafts/00_Original_Paper_Duflo_Hanna_Ryan_2012.pdf. Printed p. 1241 corresponds to physical PDF page 1. Table 2: printed p. 1249; Table 10: printed p. 1274. All page references above use printed article pages.</w:t>
      </w:r>
    </w:p>
    <w:p>
      <w:pPr>
        <w:spacing w:line="276" w:lineRule="auto"/>
      </w:pPr>
      <w:r>
        <w:rPr>
          <w:b/>
        </w:rPr>
        <w:t xml:space="preserve">E2 — </w:t>
      </w:r>
      <w:r>
        <w:t>Implemented analysis: scripts/audit_transition_extension.py (joins and recodes, lines 100–136; last-up-to-five rule and outcome construction, lines 143–159; interaction model); scripts/audit_transition_scope.py (fixed calendar and block checks; null-imposed wild-bootstrap-t, lines 200–243). These scripts, rather than an invented model, define what was actually fitted.</w:t>
      </w:r>
    </w:p>
    <w:p>
      <w:pPr>
        <w:spacing w:line="276" w:lineRule="auto"/>
      </w:pPr>
      <w:r>
        <w:rPr>
          <w:b/>
        </w:rPr>
        <w:t xml:space="preserve">E3 — </w:t>
      </w:r>
      <w:r>
        <w:t>Saved results: outputs/research_direction_audit/transition_table10_reproduction.csv; outputs/scope_search_2026_09_22/transition/transition_scope_model_results.csv; transition_scope_group_effects.csv; drop_wildbootstrap_summary.json; drop2_wildbootstrap_summary.json. Attendance reconstruction: seminar_paper_drafts/source/attendance_recheck.json. The primary model is primary_consensus_no_fe, N = 2,195, 111 schools.</w:t>
      </w:r>
    </w:p>
    <w:p>
      <w:pPr>
        <w:spacing w:line="276" w:lineRule="auto"/>
      </w:pPr>
      <w:r>
        <w:rPr>
          <w:b/>
        </w:rPr>
        <w:t xml:space="preserve">E4 — </w:t>
      </w:r>
      <w:r>
        <w:t>Measurement evidence: outputs/scope_search_2026_09_22/transition/transition_scope_measurement_summary.csv; transition_open_check_coverage.csv; sentinel_audit.md; transition_incomplete_last5_bounds.csv; outputs/scope_search_2026_09_22/measurement/sentinel_interaction_bounds.json; scripts/audit_sentinel_measurement.py. The 66.4% blank-reason calculation is 7,112/10,707 selected check records.</w:t>
      </w:r>
    </w:p>
    <w:p>
      <w:pPr>
        <w:spacing w:line="276" w:lineRule="auto"/>
      </w:pPr>
      <w:r>
        <w:rPr>
          <w:b/>
        </w:rPr>
        <w:t xml:space="preserve">E5 — </w:t>
      </w:r>
      <w:r>
        <w:t>Assignment: /Users/shayb/Downloads/Experiments_Final_Paper_Instructions_2026 (2).pdf, pp. 1–4, and /Users/shayb/Downloads/Experiments Seminar Paper Instructions 2026 (3).pdf, Track A. Specific requirements above are attributed to the final-paper instructions. Requirements are distinct from the optional clarity advice.</w:t>
      </w:r>
    </w:p>
    <w:p>
      <w:pPr>
        <w:spacing w:line="276" w:lineRule="auto"/>
      </w:pPr>
      <w:r>
        <w:rPr>
          <w:b/>
        </w:rPr>
        <w:t xml:space="preserve">E6 — </w:t>
      </w:r>
      <w:r>
        <w:t>Replication data: Duflo, Hanna, and Ryan, “Incentives Work: Getting Teachers to Come to School,” Version 1, AEA/ICPSR replication package E112523V1, distributed 2019. DOI: https://doi.org/10.3886/E112523V1. Verify the final bibliography’s dataset-entry format separately from the 2012 journal article.</w:t>
      </w:r>
    </w:p>
    <w:sectPr w:rsidR="00FC693F" w:rsidRPr="0006063C" w:rsidSect="00034616">
      <w:headerReference w:type="default" r:id="rId9"/>
      <w:footerReference w:type="default" r:id="rId10"/>
      <w:pgSz w:w="11906" w:h="16838"/>
      <w:pgMar w:top="1134"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Review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8"/>
      </w:rPr>
      <w:t>SHAY’S REWRITE • REVIEW COPY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1B1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B1B1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note">
    <w:name w:val="Review note"/>
    <w:pPr>
      <w:keepLines/>
      <w:spacing w:line="276" w:lineRule="auto" w:before="60" w:after="160"/>
      <w:ind w:left="142" w:right="85"/>
    </w:pPr>
    <w:rPr>
      <w:rFonts w:ascii="Times New Roman" w:hAnsi="Times New Roman"/>
      <w:color w:val="9C2424"/>
      <w:sz w:val="22"/>
    </w:rPr>
  </w:style>
  <w:style w:type="paragraph" w:customStyle="1" w:styleId="Originalsource">
    <w:name w:val="Original source"/>
    <w:basedOn w:val="Normal"/>
    <w:rPr>
      <w:color w:val="000000"/>
    </w:rPr>
  </w:style>
  <w:style w:type="paragraph" w:customStyle="1" w:styleId="Originaltableline">
    <w:name w:val="Original table line"/>
    <w:basedOn w:val="Originalsource"/>
    <w:pPr>
      <w:keepNext/>
      <w:spacing w:line="252" w:lineRule="auto" w:after="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Shay’s replication and extension — annotated review</dc:title>
  <dc:subject>Read-only source review against verified study and Track A requirements</dc:subject>
  <dc:creator>Codex — review annotations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