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01443" w14:textId="77777777" w:rsidR="008C5D65" w:rsidRDefault="008328FE">
      <w:pPr>
        <w:spacing w:before="210" w:after="0" w:line="360" w:lineRule="auto"/>
      </w:pPr>
      <w:r>
        <w:rPr>
          <w:noProof/>
        </w:rPr>
      </w:r>
      <w:r>
        <w:rPr>
          <w:noProof/>
        </w:rPr>
        <w:pict w14:anchorId="2138FA89">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806306B" w14:textId="77777777" w:rsidR="008C5D65" w:rsidRDefault="00000000">
      <w:pPr>
        <w:spacing w:before="157" w:after="157" w:line="270" w:lineRule="auto"/>
      </w:pPr>
      <w:bookmarkStart w:id="0" w:name="ttc_clean_expected_loss_as_a_mana_25daba"/>
      <w:r>
        <w:rPr>
          <w:rFonts w:eastAsia="Georgia" w:hAnsi="Georgia" w:cs="Georgia"/>
          <w:b/>
          <w:color w:val="000000"/>
          <w:sz w:val="39"/>
        </w:rPr>
        <w:t>TTC Clean Expected Loss as a Management Metric for Pricing, EVA and Economic Capital</w:t>
      </w:r>
      <w:bookmarkEnd w:id="0"/>
    </w:p>
    <w:p w14:paraId="207C7029" w14:textId="77777777" w:rsidR="008C5D65" w:rsidRDefault="00000000">
      <w:pPr>
        <w:spacing w:before="315" w:after="105" w:line="360" w:lineRule="auto"/>
        <w:ind w:left="-30"/>
      </w:pPr>
      <w:bookmarkStart w:id="1" w:name="abstract"/>
      <w:r>
        <w:rPr>
          <w:rFonts w:eastAsia="Georgia" w:hAnsi="Georgia" w:cs="Georgia"/>
          <w:b/>
          <w:color w:val="000000"/>
          <w:sz w:val="24"/>
        </w:rPr>
        <w:t>Abstract</w:t>
      </w:r>
      <w:bookmarkEnd w:id="1"/>
    </w:p>
    <w:p w14:paraId="60E78EF6" w14:textId="77777777" w:rsidR="008C5D65" w:rsidRDefault="00000000">
      <w:pPr>
        <w:spacing w:after="210" w:line="360" w:lineRule="auto"/>
      </w:pPr>
      <w:r>
        <w:rPr>
          <w:rFonts w:eastAsia="Georgia" w:hAnsi="Georgia" w:cs="Georgia"/>
          <w:color w:val="000000"/>
        </w:rPr>
        <w:t>This paper evaluates whether a through‑the‑cycle management expected loss metric, here defined as TTC Clean Expected Loss (TCEL), can be regarded as a best practice for pricing, Economic Value Added (EVA) and economic capital in banks. TCEL is defined as an expected loss measure derived from IRB models, stripped of prudential add‑ons such as margins of conservatism and downturn adjustments, and not incorporating forward‑looking macroeconomic information. It therefore differs both from IFRS 9 expected credit loss (ECL), which is point‑in‑time and macro‑sensitive, and from regulatory expected loss, which embeds supervisory conservatism.</w:t>
      </w:r>
      <w:bookmarkStart w:id="2" w:name="fnref1"/>
      <w:bookmarkEnd w:id="2"/>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3" w:name="fnref2"/>
      <w:bookmarkEnd w:id="3"/>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4" w:name="fnref3"/>
      <w:bookmarkEnd w:id="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5" w:name="fnref4"/>
      <w:bookmarkEnd w:id="5"/>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6" w:name="fnref5"/>
      <w:bookmarkEnd w:id="6"/>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7" w:name="fnref6"/>
      <w:bookmarkEnd w:id="7"/>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2E646ACE" w14:textId="77777777" w:rsidR="008C5D65" w:rsidRDefault="00000000">
      <w:pPr>
        <w:spacing w:after="210" w:line="360" w:lineRule="auto"/>
      </w:pPr>
      <w:r>
        <w:rPr>
          <w:rFonts w:eastAsia="Georgia" w:hAnsi="Georgia" w:cs="Georgia"/>
          <w:color w:val="000000"/>
        </w:rPr>
        <w:t>The paper develops a conceptual framework for comparing TCEL with IFRS 9 ECL and prudential expected loss along three dimensions: pricing efficiency, stability and coherence with economic capital. Using analytical arguments, numerical illustrations and portfolio‑level evidence from a large universal bank, we find that TCEL is methodologically robust and economically meaningful as a baseline expected loss for EVA and economic capital, but theoretically incomplete for pricing unless complemented by point‑in‑time or macroeconomic overlays. TCEL delivers stable and interpretable EVA and RAROC measures, while IFRS 9 ECL provides forward‑looking but procyclical signals that are ill‑suited for internal performance steering. We further show how explainable machine‑learning (ML) techniques can be integrated to enhance PD and LGD estimation, decompose ECL into TTC and macro/staging components, and improve the link between TCEL, ECL and economic capital. We conclude that TCEL should be treated as the economically correct TTC representation of expected credit risk for management purposes, best used within a hybrid, ML‑enhanced architecture that explicitly links it to IFRS 9 ECL and regulatory capital.</w:t>
      </w:r>
      <w:bookmarkStart w:id="8" w:name="fnref3_1"/>
      <w:bookmarkEnd w:id="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9" w:name="fnref5_1"/>
      <w:bookmarkEnd w:id="9"/>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10" w:name="fnref6_1"/>
      <w:bookmarkEnd w:id="10"/>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11" w:name="fnref7"/>
      <w:bookmarkEnd w:id="11"/>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12" w:name="fnref8"/>
      <w:bookmarkEnd w:id="12"/>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13" w:name="fnref9"/>
      <w:bookmarkEnd w:id="13"/>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14" w:name="fnref10"/>
      <w:bookmarkEnd w:id="14"/>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5D6228D7" w14:textId="77777777" w:rsidR="008C5D65" w:rsidRDefault="008328FE">
      <w:pPr>
        <w:spacing w:before="210" w:after="0" w:line="360" w:lineRule="auto"/>
      </w:pPr>
      <w:r>
        <w:rPr>
          <w:noProof/>
        </w:rPr>
      </w:r>
      <w:r>
        <w:rPr>
          <w:noProof/>
        </w:rPr>
        <w:pict w14:anchorId="599109CE">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9C5AF4D" w14:textId="77777777" w:rsidR="008C5D65" w:rsidRDefault="00000000">
      <w:pPr>
        <w:spacing w:before="315" w:after="105" w:line="360" w:lineRule="auto"/>
        <w:ind w:left="-30"/>
      </w:pPr>
      <w:bookmarkStart w:id="15" w:name="bm_1_introduction"/>
      <w:r>
        <w:rPr>
          <w:rFonts w:eastAsia="Georgia" w:hAnsi="Georgia" w:cs="Georgia"/>
          <w:b/>
          <w:color w:val="000000"/>
          <w:sz w:val="24"/>
        </w:rPr>
        <w:t>1. Introduction</w:t>
      </w:r>
      <w:bookmarkEnd w:id="15"/>
    </w:p>
    <w:p w14:paraId="4FE2E5BA" w14:textId="77777777" w:rsidR="008C5D65" w:rsidRDefault="00000000">
      <w:pPr>
        <w:spacing w:after="210" w:line="360" w:lineRule="auto"/>
      </w:pPr>
      <w:r>
        <w:rPr>
          <w:rFonts w:eastAsia="Georgia" w:hAnsi="Georgia" w:cs="Georgia"/>
          <w:color w:val="000000"/>
        </w:rPr>
        <w:t xml:space="preserve">Banks today operate with at least three distinct expected loss concepts: a TTC expected loss derived from IRB models, an accounting ECL under IFRS 9, and an implicit economic expected loss underpinning internal capital models and pricing. While these measures are related, they serve different purposes and can generate conflicting signals for management. IFRS 9 ECL is explicitly </w:t>
      </w:r>
      <w:r>
        <w:rPr>
          <w:rFonts w:eastAsia="Georgia" w:hAnsi="Georgia" w:cs="Georgia"/>
          <w:color w:val="000000"/>
        </w:rPr>
        <w:lastRenderedPageBreak/>
        <w:t>forward‑looking and scenario‑based, increasing the timeliness of loss recognition but also the volatility and procyclicality of loan loss provisions. Prudential expected loss, by contrast, is calibrated to downturn conditions and incorporates margins of conservatism to ensure regulatory robustness.</w:t>
      </w:r>
      <w:bookmarkStart w:id="16" w:name="fnref5_2"/>
      <w:bookmarkEnd w:id="16"/>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17" w:name="fnref7_1"/>
      <w:bookmarkEnd w:id="17"/>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18" w:name="fnref8_1"/>
      <w:bookmarkEnd w:id="18"/>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19" w:name="fnref9_1"/>
      <w:bookmarkEnd w:id="19"/>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20" w:name="fnref11"/>
      <w:bookmarkEnd w:id="20"/>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bookmarkStart w:id="21" w:name="fnref12"/>
      <w:bookmarkEnd w:id="21"/>
      <w:r>
        <w:fldChar w:fldCharType="begin"/>
      </w:r>
      <w:r>
        <w:instrText>HYPERLINK \l "fn12" \h</w:instrText>
      </w:r>
      <w:r>
        <w:fldChar w:fldCharType="separate"/>
      </w:r>
      <w:r>
        <w:rPr>
          <w:rFonts w:ascii="Helvetica Neue" w:eastAsia="Helvetica Neue" w:hAnsi="Helvetica Neue" w:cs="Helvetica Neue"/>
          <w:u w:val="single"/>
          <w:vertAlign w:val="superscript"/>
        </w:rPr>
        <w:t>[12]</w:t>
      </w:r>
      <w:r>
        <w:fldChar w:fldCharType="end"/>
      </w:r>
      <w:bookmarkStart w:id="22" w:name="fnref3_2"/>
      <w:bookmarkEnd w:id="2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4E93F8B8" w14:textId="77777777" w:rsidR="008C5D65" w:rsidRDefault="00000000">
      <w:pPr>
        <w:spacing w:after="210" w:line="360" w:lineRule="auto"/>
      </w:pPr>
      <w:r>
        <w:rPr>
          <w:rFonts w:eastAsia="Georgia" w:hAnsi="Georgia" w:cs="Georgia"/>
          <w:color w:val="000000"/>
        </w:rPr>
        <w:t>This paper focuses on a specific management metric—TTC Clean Expected Loss (TCEL)—that aims to capture the economic cost of credit risk in a stable and conceptually transparent way. TCEL is constructed from IRB models but removes purely prudential overlays and does not embed explicit macro scenarios. The core question we address is whether TCEL can be considered a best‑practice expected loss metric for pricing, EVA and economic capital, and how it should be positioned relative to IFRS 9 ECL and regulatory measures.</w:t>
      </w:r>
    </w:p>
    <w:p w14:paraId="1DB9971E" w14:textId="77777777" w:rsidR="008C5D65" w:rsidRDefault="00000000">
      <w:pPr>
        <w:spacing w:after="210" w:line="360" w:lineRule="auto"/>
      </w:pPr>
      <w:r>
        <w:rPr>
          <w:rFonts w:eastAsia="Georgia" w:hAnsi="Georgia" w:cs="Georgia"/>
          <w:color w:val="000000"/>
        </w:rPr>
        <w:t>The contribution is threefold. First, we provide a rigorous conceptual characterization of TCEL, contrasting it with IFRS 9 ECL and prudential expected loss in terms of modelling assumptions, time horizon and information set. Second, we analyse the implications of using TCEL as the primary expected loss driver in pricing, EVA and economic capital frameworks, highlighting both its strengths and its limitations, supported by numerical and empirical evidence. Third, we outline an ML‑enhanced framework in which explainable machine‑learning models are used to model the non‑linear macro and staging components of ECL and to refine the relationship between TCEL, ECL and economic capital.</w:t>
      </w:r>
      <w:bookmarkStart w:id="23" w:name="fnref2_1"/>
      <w:bookmarkEnd w:id="23"/>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24" w:name="fnref6_2"/>
      <w:bookmarkEnd w:id="24"/>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25" w:name="fnref7_2"/>
      <w:bookmarkEnd w:id="25"/>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26" w:name="fnref1_1"/>
      <w:bookmarkEnd w:id="26"/>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7" w:name="fnref3_3"/>
      <w:bookmarkEnd w:id="27"/>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28" w:name="fnref5_3"/>
      <w:bookmarkEnd w:id="28"/>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73E71F6E" w14:textId="77777777" w:rsidR="008C5D65" w:rsidRDefault="008328FE">
      <w:pPr>
        <w:spacing w:before="210" w:after="0" w:line="360" w:lineRule="auto"/>
      </w:pPr>
      <w:r>
        <w:rPr>
          <w:noProof/>
        </w:rPr>
      </w:r>
      <w:r>
        <w:rPr>
          <w:noProof/>
        </w:rPr>
        <w:pict w14:anchorId="5CF1DE2D">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4ADAE62" w14:textId="77777777" w:rsidR="008C5D65" w:rsidRDefault="00000000">
      <w:pPr>
        <w:spacing w:before="315" w:after="105" w:line="360" w:lineRule="auto"/>
        <w:ind w:left="-30"/>
      </w:pPr>
      <w:bookmarkStart w:id="29" w:name="bm_2_defining_tcel_and_its_relati_9afee9"/>
      <w:r>
        <w:rPr>
          <w:rFonts w:eastAsia="Georgia" w:hAnsi="Georgia" w:cs="Georgia"/>
          <w:b/>
          <w:color w:val="000000"/>
          <w:sz w:val="24"/>
        </w:rPr>
        <w:t>2. Defining TCEL and Its Relation to Other EL Concepts</w:t>
      </w:r>
      <w:bookmarkEnd w:id="29"/>
    </w:p>
    <w:p w14:paraId="16079CFA" w14:textId="77777777" w:rsidR="008C5D65" w:rsidRDefault="00000000">
      <w:pPr>
        <w:spacing w:before="315" w:after="105" w:line="360" w:lineRule="auto"/>
        <w:ind w:left="-30"/>
      </w:pPr>
      <w:bookmarkStart w:id="30" w:name="bm_2_1_credit_quality_indicators_3c9edf"/>
      <w:r>
        <w:rPr>
          <w:rFonts w:eastAsia="Georgia" w:hAnsi="Georgia" w:cs="Georgia"/>
          <w:b/>
          <w:color w:val="000000"/>
          <w:sz w:val="24"/>
        </w:rPr>
        <w:t>2.1 Credit Quality Indicators and TTC Expected Loss</w:t>
      </w:r>
      <w:bookmarkEnd w:id="30"/>
    </w:p>
    <w:p w14:paraId="3D1DDF37" w14:textId="77777777" w:rsidR="008C5D65" w:rsidRDefault="00000000">
      <w:pPr>
        <w:spacing w:after="210" w:line="360" w:lineRule="auto"/>
      </w:pPr>
      <w:r>
        <w:rPr>
          <w:rFonts w:eastAsia="Georgia" w:hAnsi="Georgia" w:cs="Georgia"/>
          <w:color w:val="000000"/>
        </w:rPr>
        <w:t xml:space="preserve">Let </w:t>
      </w:r>
      <m:oMath>
        <m:r>
          <w:rPr>
            <w:rFonts w:ascii="Cambria Math" w:hAnsi="Cambria Math"/>
            <w:color w:val="000000"/>
          </w:rPr>
          <m:t>CQI</m:t>
        </m:r>
        <m:r>
          <m:rPr>
            <m:sty m:val="p"/>
          </m:rPr>
          <w:rPr>
            <w:rFonts w:ascii="Cambria Math" w:hAnsi="Cambria Math"/>
            <w:color w:val="000000"/>
          </w:rPr>
          <m:t>={</m:t>
        </m:r>
        <m:r>
          <w:rPr>
            <w:rFonts w:ascii="Cambria Math" w:hAnsi="Cambria Math"/>
            <w:color w:val="000000"/>
          </w:rPr>
          <m:t>P</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TTC</m:t>
            </m:r>
          </m:sup>
        </m:sSup>
        <m:r>
          <m:rPr>
            <m:sty m:val="p"/>
          </m:rPr>
          <w:rPr>
            <w:rFonts w:ascii="Cambria Math" w:hAnsi="Cambria Math"/>
            <w:color w:val="000000"/>
          </w:rPr>
          <m:t>,</m:t>
        </m:r>
        <m:r>
          <w:rPr>
            <w:rFonts w:ascii="Cambria Math" w:hAnsi="Cambria Math"/>
            <w:color w:val="000000"/>
          </w:rPr>
          <m:t>LG</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TTC</m:t>
            </m:r>
          </m:sup>
        </m:sSup>
        <m:r>
          <m:rPr>
            <m:sty m:val="p"/>
          </m:rPr>
          <w:rPr>
            <w:rFonts w:ascii="Cambria Math" w:hAnsi="Cambria Math"/>
            <w:color w:val="000000"/>
          </w:rPr>
          <m:t>,</m:t>
        </m:r>
        <m:r>
          <w:rPr>
            <w:rFonts w:ascii="Cambria Math" w:hAnsi="Cambria Math"/>
            <w:color w:val="000000"/>
          </w:rPr>
          <m:t>DefaultRate</m:t>
        </m:r>
        <m:r>
          <m:rPr>
            <m:sty m:val="p"/>
          </m:rPr>
          <w:rPr>
            <w:rFonts w:ascii="Cambria Math" w:hAnsi="Cambria Math"/>
            <w:color w:val="000000"/>
          </w:rPr>
          <m:t>,…}</m:t>
        </m:r>
      </m:oMath>
      <w:r>
        <w:rPr>
          <w:rFonts w:eastAsia="Georgia" w:hAnsi="Georgia" w:cs="Georgia"/>
          <w:color w:val="000000"/>
        </w:rPr>
        <w:t xml:space="preserve"> denote the set of TTC credit quality indicators used in internal IRB models. For a homogeneous portfolio with exposure at default </w:t>
      </w:r>
      <m:oMath>
        <m:r>
          <w:rPr>
            <w:rFonts w:ascii="Cambria Math" w:hAnsi="Cambria Math"/>
            <w:color w:val="000000"/>
          </w:rPr>
          <m:t>EAD</m:t>
        </m:r>
      </m:oMath>
      <w:r>
        <w:rPr>
          <w:rFonts w:eastAsia="Georgia" w:hAnsi="Georgia" w:cs="Georgia"/>
          <w:color w:val="000000"/>
        </w:rPr>
        <w:t>, standard TTC expected loss is:</w:t>
      </w:r>
      <w:bookmarkStart w:id="31" w:name="fnref3_4"/>
      <w:bookmarkEnd w:id="31"/>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3E0903E4" w14:textId="77777777" w:rsidR="008C5D65" w:rsidRDefault="00000000">
      <w:pPr>
        <w:spacing w:after="210" w:line="360" w:lineRule="auto"/>
      </w:pPr>
      <m:oMathPara>
        <m:oMath>
          <m:r>
            <w:rPr>
              <w:rFonts w:ascii="Cambria Math" w:hAnsi="Cambria Math"/>
              <w:color w:val="000000"/>
            </w:rPr>
            <m:t>E</m:t>
          </m:r>
          <m:sSup>
            <m:sSupPr>
              <m:ctrlPr>
                <w:rPr>
                  <w:rFonts w:ascii="Cambria Math" w:hAnsi="Cambria Math"/>
                  <w:color w:val="000000"/>
                </w:rPr>
              </m:ctrlPr>
            </m:sSupPr>
            <m:e>
              <m:r>
                <w:rPr>
                  <w:rFonts w:ascii="Cambria Math" w:hAnsi="Cambria Math"/>
                  <w:color w:val="000000"/>
                </w:rPr>
                <m:t>L</m:t>
              </m:r>
            </m:e>
            <m:sup>
              <m:r>
                <w:rPr>
                  <w:rFonts w:ascii="Cambria Math" w:hAnsi="Cambria Math"/>
                  <w:color w:val="000000"/>
                </w:rPr>
                <m:t>TTC</m:t>
              </m:r>
            </m:sup>
          </m:sSup>
          <m:r>
            <m:rPr>
              <m:sty m:val="p"/>
            </m:rPr>
            <w:rPr>
              <w:rFonts w:ascii="Cambria Math" w:hAnsi="Cambria Math"/>
              <w:color w:val="000000"/>
            </w:rPr>
            <m:t>=</m:t>
          </m:r>
          <m:r>
            <w:rPr>
              <w:rFonts w:ascii="Cambria Math" w:hAnsi="Cambria Math"/>
              <w:color w:val="000000"/>
            </w:rPr>
            <m:t>P</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TTC</m:t>
              </m:r>
            </m:sup>
          </m:sSup>
          <m:r>
            <m:rPr>
              <m:sty m:val="p"/>
            </m:rPr>
            <w:rPr>
              <w:rFonts w:ascii="Cambria Math" w:hAnsi="Cambria Math"/>
              <w:color w:val="000000"/>
            </w:rPr>
            <m:t>×</m:t>
          </m:r>
          <m:r>
            <w:rPr>
              <w:rFonts w:ascii="Cambria Math" w:hAnsi="Cambria Math"/>
              <w:color w:val="000000"/>
            </w:rPr>
            <m:t>LG</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TTC</m:t>
              </m:r>
            </m:sup>
          </m:sSup>
          <m:r>
            <m:rPr>
              <m:sty m:val="p"/>
            </m:rPr>
            <w:rPr>
              <w:rFonts w:ascii="Cambria Math" w:hAnsi="Cambria Math"/>
              <w:color w:val="000000"/>
            </w:rPr>
            <m:t>×</m:t>
          </m:r>
          <m:r>
            <w:rPr>
              <w:rFonts w:ascii="Cambria Math" w:hAnsi="Cambria Math"/>
              <w:color w:val="000000"/>
            </w:rPr>
            <m:t>EAD</m:t>
          </m:r>
          <m:r>
            <m:rPr>
              <m:sty m:val="p"/>
            </m:rPr>
            <w:rPr>
              <w:rFonts w:ascii="Cambria Math" w:hAnsi="Cambria Math"/>
              <w:color w:val="000000"/>
            </w:rPr>
            <m:t>.</m:t>
          </m:r>
        </m:oMath>
      </m:oMathPara>
    </w:p>
    <w:p w14:paraId="7AE72388" w14:textId="77777777" w:rsidR="008C5D65" w:rsidRDefault="00000000">
      <w:pPr>
        <w:spacing w:after="210" w:line="360" w:lineRule="auto"/>
      </w:pPr>
      <w:r>
        <w:rPr>
          <w:rFonts w:eastAsia="Georgia" w:hAnsi="Georgia" w:cs="Georgia"/>
          <w:color w:val="000000"/>
        </w:rPr>
        <w:t>This measure is calibrated over long‑run data and is therefore relatively insensitive to short‑term macroeconomic fluctuations. It provides a structural view of credit risk that is central to IRB capital requirements and economic capital models.</w:t>
      </w:r>
      <w:bookmarkStart w:id="32" w:name="fnref2_2"/>
      <w:bookmarkEnd w:id="3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33" w:name="fnref3_5"/>
      <w:bookmarkEnd w:id="3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104B1338" w14:textId="77777777" w:rsidR="008C5D65" w:rsidRDefault="00000000">
      <w:pPr>
        <w:spacing w:before="315" w:after="105" w:line="360" w:lineRule="auto"/>
        <w:ind w:left="-30"/>
      </w:pPr>
      <w:bookmarkStart w:id="34" w:name="bm_2_2_ttc_clean_expected_loss_tcel"/>
      <w:r>
        <w:rPr>
          <w:rFonts w:eastAsia="Georgia" w:hAnsi="Georgia" w:cs="Georgia"/>
          <w:b/>
          <w:color w:val="000000"/>
          <w:sz w:val="24"/>
        </w:rPr>
        <w:t>2.2 TTC Clean Expected Loss (TCEL)</w:t>
      </w:r>
      <w:bookmarkEnd w:id="34"/>
    </w:p>
    <w:p w14:paraId="2B2CF3BB" w14:textId="77777777" w:rsidR="008C5D65" w:rsidRDefault="00000000">
      <w:pPr>
        <w:spacing w:after="210" w:line="360" w:lineRule="auto"/>
      </w:pPr>
      <w:r>
        <w:rPr>
          <w:rFonts w:eastAsia="Georgia" w:hAnsi="Georgia" w:cs="Georgia"/>
          <w:color w:val="000000"/>
        </w:rPr>
        <w:lastRenderedPageBreak/>
        <w:t>We define TTC Clean Expected Loss (TCEL) as:</w:t>
      </w:r>
    </w:p>
    <w:p w14:paraId="768F2319" w14:textId="77777777" w:rsidR="008C5D65" w:rsidRDefault="00000000">
      <w:pPr>
        <w:spacing w:after="210" w:line="360" w:lineRule="auto"/>
      </w:pPr>
      <m:oMathPara>
        <m:oMath>
          <m:r>
            <w:rPr>
              <w:rFonts w:ascii="Cambria Math" w:hAnsi="Cambria Math"/>
              <w:color w:val="000000"/>
            </w:rPr>
            <m:t>TCEL</m:t>
          </m:r>
          <m:r>
            <m:rPr>
              <m:sty m:val="p"/>
            </m:rPr>
            <w:rPr>
              <w:rFonts w:ascii="Cambria Math" w:hAnsi="Cambria Math"/>
              <w:color w:val="000000"/>
            </w:rPr>
            <m:t>=</m:t>
          </m:r>
          <m:r>
            <w:rPr>
              <w:rFonts w:ascii="Cambria Math" w:hAnsi="Cambria Math"/>
              <w:color w:val="000000"/>
            </w:rPr>
            <m:t>P</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TTC</m:t>
              </m:r>
            </m:sup>
          </m:sSup>
          <m:r>
            <m:rPr>
              <m:sty m:val="p"/>
            </m:rPr>
            <w:rPr>
              <w:rFonts w:ascii="Cambria Math" w:hAnsi="Cambria Math"/>
              <w:color w:val="000000"/>
            </w:rPr>
            <m:t>×</m:t>
          </m:r>
          <m:r>
            <w:rPr>
              <w:rFonts w:ascii="Cambria Math" w:hAnsi="Cambria Math"/>
              <w:color w:val="000000"/>
            </w:rPr>
            <m:t>LG</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clean</m:t>
              </m:r>
            </m:sup>
          </m:sSup>
          <m:r>
            <m:rPr>
              <m:sty m:val="p"/>
            </m:rPr>
            <w:rPr>
              <w:rFonts w:ascii="Cambria Math" w:hAnsi="Cambria Math"/>
              <w:color w:val="000000"/>
            </w:rPr>
            <m:t>×</m:t>
          </m:r>
          <m:r>
            <w:rPr>
              <w:rFonts w:ascii="Cambria Math" w:hAnsi="Cambria Math"/>
              <w:color w:val="000000"/>
            </w:rPr>
            <m:t>EAD</m:t>
          </m:r>
          <m:r>
            <m:rPr>
              <m:sty m:val="p"/>
            </m:rPr>
            <w:rPr>
              <w:rFonts w:ascii="Cambria Math" w:hAnsi="Cambria Math"/>
              <w:color w:val="000000"/>
            </w:rPr>
            <m:t>,</m:t>
          </m:r>
        </m:oMath>
      </m:oMathPara>
    </w:p>
    <w:p w14:paraId="6C4271F0" w14:textId="77777777" w:rsidR="008C5D65" w:rsidRDefault="00000000">
      <w:pPr>
        <w:spacing w:after="210" w:line="360" w:lineRule="auto"/>
      </w:pPr>
      <w:r>
        <w:rPr>
          <w:rFonts w:eastAsia="Georgia" w:hAnsi="Georgia" w:cs="Georgia"/>
          <w:color w:val="000000"/>
        </w:rPr>
        <w:t xml:space="preserve">where </w:t>
      </w:r>
      <m:oMath>
        <m:r>
          <w:rPr>
            <w:rFonts w:ascii="Cambria Math" w:hAnsi="Cambria Math"/>
            <w:color w:val="000000"/>
          </w:rPr>
          <m:t>LG</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clean</m:t>
            </m:r>
          </m:sup>
        </m:sSup>
      </m:oMath>
      <w:r>
        <w:rPr>
          <w:rFonts w:eastAsia="Georgia" w:hAnsi="Georgia" w:cs="Georgia"/>
          <w:color w:val="000000"/>
        </w:rPr>
        <w:t xml:space="preserve"> removes downturn uplifts, margins of conservatism and other supervisory adjustments embedded in regulatory LGD. TCEL is thus a TTC expected loss measure that is:</w:t>
      </w:r>
      <w:bookmarkStart w:id="35" w:name="fnref4_1"/>
      <w:bookmarkEnd w:id="35"/>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36" w:name="fnref3_6"/>
      <w:bookmarkEnd w:id="3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4C19E7C4" w14:textId="77777777" w:rsidR="008C5D65" w:rsidRDefault="00000000">
      <w:pPr>
        <w:numPr>
          <w:ilvl w:val="0"/>
          <w:numId w:val="2"/>
        </w:numPr>
        <w:spacing w:before="105" w:after="105" w:line="360" w:lineRule="auto"/>
      </w:pPr>
      <w:r>
        <w:rPr>
          <w:rFonts w:eastAsia="Georgia" w:hAnsi="Georgia" w:cs="Georgia"/>
          <w:color w:val="000000"/>
        </w:rPr>
        <w:t>derived from the same risk drivers and models as IRB capital,</w:t>
      </w:r>
    </w:p>
    <w:p w14:paraId="18DD337B" w14:textId="77777777" w:rsidR="008C5D65" w:rsidRDefault="00000000">
      <w:pPr>
        <w:numPr>
          <w:ilvl w:val="0"/>
          <w:numId w:val="2"/>
        </w:numPr>
        <w:spacing w:before="105" w:after="105" w:line="360" w:lineRule="auto"/>
      </w:pPr>
      <w:r>
        <w:rPr>
          <w:rFonts w:eastAsia="Georgia" w:hAnsi="Georgia" w:cs="Georgia"/>
          <w:color w:val="000000"/>
        </w:rPr>
        <w:t>purged of prudential conservatism not justified by economic risk,</w:t>
      </w:r>
    </w:p>
    <w:p w14:paraId="790CB106" w14:textId="77777777" w:rsidR="008C5D65" w:rsidRDefault="00000000">
      <w:pPr>
        <w:numPr>
          <w:ilvl w:val="0"/>
          <w:numId w:val="2"/>
        </w:numPr>
        <w:spacing w:before="105" w:after="105" w:line="360" w:lineRule="auto"/>
      </w:pPr>
      <w:r>
        <w:rPr>
          <w:rFonts w:eastAsia="Georgia" w:hAnsi="Georgia" w:cs="Georgia"/>
          <w:color w:val="000000"/>
        </w:rPr>
        <w:t>and not adjusted for forward‑looking macro scenarios.</w:t>
      </w:r>
    </w:p>
    <w:p w14:paraId="76F02DFC" w14:textId="77777777" w:rsidR="008C5D65" w:rsidRDefault="00000000">
      <w:pPr>
        <w:spacing w:after="210" w:line="360" w:lineRule="auto"/>
      </w:pPr>
      <w:r>
        <w:rPr>
          <w:rFonts w:eastAsia="Georgia" w:hAnsi="Georgia" w:cs="Georgia"/>
          <w:color w:val="000000"/>
        </w:rPr>
        <w:t>TCEL is intended to approximate the long‑run economic cost of credit risk, suitable for pricing, EVA and internal capital allocation.</w:t>
      </w:r>
    </w:p>
    <w:p w14:paraId="772111A8" w14:textId="77777777" w:rsidR="008C5D65" w:rsidRDefault="00000000">
      <w:pPr>
        <w:spacing w:before="315" w:after="105" w:line="360" w:lineRule="auto"/>
        <w:ind w:left="-30"/>
      </w:pPr>
      <w:bookmarkStart w:id="37" w:name="bm_2_3_ifrs_9_ecl_and_prudential_d85b29"/>
      <w:r>
        <w:rPr>
          <w:rFonts w:eastAsia="Georgia" w:hAnsi="Georgia" w:cs="Georgia"/>
          <w:b/>
          <w:color w:val="000000"/>
          <w:sz w:val="24"/>
        </w:rPr>
        <w:t>2.3 IFRS 9 ECL and Prudential Expected Loss</w:t>
      </w:r>
      <w:bookmarkEnd w:id="37"/>
    </w:p>
    <w:p w14:paraId="4AAF56A3" w14:textId="77777777" w:rsidR="008C5D65" w:rsidRDefault="00000000">
      <w:pPr>
        <w:spacing w:after="210" w:line="360" w:lineRule="auto"/>
      </w:pPr>
      <w:r>
        <w:rPr>
          <w:rFonts w:eastAsia="Georgia" w:hAnsi="Georgia" w:cs="Georgia"/>
          <w:color w:val="000000"/>
        </w:rPr>
        <w:t xml:space="preserve">Under IFRS 9, expected credit loss is defined as the present value of all cash shortfalls over a given horizon, weighted by point‑in‑time, scenario‑dependent PD and LGD. For an exposure </w:t>
      </w:r>
      <m:oMath>
        <m:r>
          <w:rPr>
            <w:rFonts w:ascii="Cambria Math" w:hAnsi="Cambria Math"/>
            <w:color w:val="000000"/>
          </w:rPr>
          <m:t>i</m:t>
        </m:r>
      </m:oMath>
      <w:r>
        <w:rPr>
          <w:rFonts w:eastAsia="Georgia" w:hAnsi="Georgia" w:cs="Georgia"/>
          <w:color w:val="000000"/>
        </w:rPr>
        <w:t>:</w:t>
      </w:r>
      <w:bookmarkStart w:id="38" w:name="fnref11_1"/>
      <w:bookmarkEnd w:id="38"/>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bookmarkStart w:id="39" w:name="fnref5_4"/>
      <w:bookmarkEnd w:id="39"/>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439B87C0" w14:textId="77777777" w:rsidR="008C5D65" w:rsidRDefault="00000000">
      <w:pPr>
        <w:spacing w:after="210" w:line="360" w:lineRule="auto"/>
      </w:pPr>
      <m:oMathPara>
        <m:oMath>
          <m:r>
            <w:rPr>
              <w:rFonts w:ascii="Cambria Math" w:hAnsi="Cambria Math"/>
              <w:color w:val="000000"/>
            </w:rPr>
            <m:t>EC</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i</m:t>
              </m:r>
            </m:sub>
          </m:sSub>
          <m:r>
            <m:rPr>
              <m:sty m:val="p"/>
            </m:rPr>
            <w:rPr>
              <w:rFonts w:ascii="Cambria Math" w:hAnsi="Cambria Math"/>
              <w:color w:val="000000"/>
            </w:rPr>
            <m:t>=</m:t>
          </m:r>
          <m:nary>
            <m:naryPr>
              <m:chr m:val="∑"/>
              <m:limLoc m:val="undOvr"/>
              <m:grow m:val="1"/>
              <m:ctrlPr>
                <w:rPr>
                  <w:rFonts w:ascii="Cambria Math" w:hAnsi="Cambria Math"/>
                </w:rPr>
              </m:ctrlPr>
            </m:naryPr>
            <m:sub>
              <m:r>
                <w:rPr>
                  <w:rFonts w:ascii="Cambria Math" w:hAnsi="Cambria Math"/>
                  <w:color w:val="000000"/>
                </w:rPr>
                <m:t>t</m:t>
              </m:r>
              <m:r>
                <m:rPr>
                  <m:sty m:val="p"/>
                </m:rPr>
                <w:rPr>
                  <w:rFonts w:ascii="Cambria Math" w:hAnsi="Cambria Math"/>
                  <w:color w:val="000000"/>
                </w:rPr>
                <m:t>=1</m:t>
              </m:r>
            </m:sub>
            <m:sup>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i</m:t>
                  </m:r>
                </m:sub>
              </m:sSub>
            </m:sup>
            <m:e>
              <m:r>
                <m:rPr>
                  <m:sty m:val="p"/>
                </m:rPr>
                <w:rPr>
                  <w:rFonts w:ascii="Cambria Math" w:hAnsi="Cambria Math"/>
                  <w:color w:val="000000"/>
                </w:rPr>
                <m:t> </m:t>
              </m:r>
            </m:e>
          </m:nary>
          <m:f>
            <m:fPr>
              <m:ctrlPr>
                <w:rPr>
                  <w:rFonts w:ascii="Cambria Math" w:hAnsi="Cambria Math"/>
                  <w:color w:val="000000"/>
                </w:rPr>
              </m:ctrlPr>
            </m:fPr>
            <m:num>
              <m:r>
                <w:rPr>
                  <w:rFonts w:ascii="Cambria Math" w:hAnsi="Cambria Math"/>
                  <w:color w:val="000000"/>
                </w:rPr>
                <m:t>P</m:t>
              </m:r>
              <m:sSubSup>
                <m:sSubSupPr>
                  <m:ctrlPr>
                    <w:rPr>
                      <w:rFonts w:ascii="Cambria Math" w:hAnsi="Cambria Math"/>
                      <w:color w:val="000000"/>
                    </w:rPr>
                  </m:ctrlPr>
                </m:sSubSupPr>
                <m:e>
                  <m:r>
                    <w:rPr>
                      <w:rFonts w:ascii="Cambria Math" w:hAnsi="Cambria Math"/>
                      <w:color w:val="000000"/>
                    </w:rPr>
                    <m:t>D</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up>
                  <m:r>
                    <w:rPr>
                      <w:rFonts w:ascii="Cambria Math" w:hAnsi="Cambria Math"/>
                      <w:color w:val="000000"/>
                    </w:rPr>
                    <m:t>PIT</m:t>
                  </m:r>
                </m:sup>
              </m:sSubSup>
              <m:r>
                <m:rPr>
                  <m:sty m:val="p"/>
                </m:rPr>
                <w:rPr>
                  <w:rFonts w:ascii="Cambria Math" w:hAnsi="Cambria Math"/>
                  <w:color w:val="000000"/>
                </w:rPr>
                <m:t>⋅</m:t>
              </m:r>
              <m:r>
                <w:rPr>
                  <w:rFonts w:ascii="Cambria Math" w:hAnsi="Cambria Math"/>
                  <w:color w:val="000000"/>
                </w:rPr>
                <m:t>LG</m:t>
              </m:r>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r>
                <w:rPr>
                  <w:rFonts w:ascii="Cambria Math" w:hAnsi="Cambria Math"/>
                  <w:color w:val="000000"/>
                </w:rPr>
                <m:t>EA</m:t>
              </m:r>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num>
            <m:den>
              <m:r>
                <m:rPr>
                  <m:sty m:val="p"/>
                </m:rPr>
                <w:rPr>
                  <w:rFonts w:ascii="Cambria Math" w:hAnsi="Cambria Math"/>
                  <w:color w:val="000000"/>
                </w:rPr>
                <m:t>(1+</m:t>
              </m:r>
              <m:r>
                <w:rPr>
                  <w:rFonts w:ascii="Cambria Math" w:hAnsi="Cambria Math"/>
                  <w:color w:val="000000"/>
                </w:rPr>
                <m:t>EI</m:t>
              </m:r>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i</m:t>
                  </m:r>
                </m:sub>
              </m:sSub>
              <m:sSup>
                <m:sSupPr>
                  <m:ctrlPr>
                    <w:rPr>
                      <w:rFonts w:ascii="Cambria Math" w:hAnsi="Cambria Math"/>
                      <w:color w:val="000000"/>
                    </w:rPr>
                  </m:ctrlPr>
                </m:sSupPr>
                <m:e>
                  <m:r>
                    <m:rPr>
                      <m:sty m:val="p"/>
                    </m:rPr>
                    <w:rPr>
                      <w:rFonts w:ascii="Cambria Math" w:hAnsi="Cambria Math"/>
                      <w:color w:val="000000"/>
                    </w:rPr>
                    <m:t>)</m:t>
                  </m:r>
                </m:e>
                <m:sup>
                  <m:r>
                    <w:rPr>
                      <w:rFonts w:ascii="Cambria Math" w:hAnsi="Cambria Math"/>
                      <w:color w:val="000000"/>
                    </w:rPr>
                    <m:t>t</m:t>
                  </m:r>
                </m:sup>
              </m:sSup>
            </m:den>
          </m:f>
          <m:r>
            <m:rPr>
              <m:sty m:val="p"/>
            </m:rPr>
            <w:rPr>
              <w:rFonts w:ascii="Cambria Math" w:hAnsi="Cambria Math"/>
              <w:color w:val="000000"/>
            </w:rPr>
            <m:t>,</m:t>
          </m:r>
        </m:oMath>
      </m:oMathPara>
    </w:p>
    <w:p w14:paraId="40B3B71A" w14:textId="77777777" w:rsidR="008C5D65" w:rsidRDefault="00000000">
      <w:pPr>
        <w:spacing w:after="210" w:line="360" w:lineRule="auto"/>
      </w:pPr>
      <w:r>
        <w:rPr>
          <w:rFonts w:eastAsia="Georgia" w:hAnsi="Georgia" w:cs="Georgia"/>
          <w:color w:val="000000"/>
        </w:rPr>
        <w:t xml:space="preserve">with </w:t>
      </w:r>
      <m:oMath>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i</m:t>
            </m:r>
          </m:sub>
        </m:sSub>
      </m:oMath>
      <w:r>
        <w:rPr>
          <w:rFonts w:eastAsia="Georgia" w:hAnsi="Georgia" w:cs="Georgia"/>
          <w:color w:val="000000"/>
        </w:rPr>
        <w:t xml:space="preserve"> equal to 12 months for Stage 1 and lifetime for Stage 2 and 3. This definition requires incorporating past events, current conditions and forward‑looking macroeconomic information.</w:t>
      </w:r>
      <w:bookmarkStart w:id="40" w:name="fnref5_5"/>
      <w:bookmarkEnd w:id="40"/>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41" w:name="fnref11_2"/>
      <w:bookmarkEnd w:id="41"/>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49843EEE" w14:textId="77777777" w:rsidR="008C5D65" w:rsidRDefault="00000000">
      <w:pPr>
        <w:spacing w:after="210" w:line="360" w:lineRule="auto"/>
      </w:pPr>
      <w:r>
        <w:rPr>
          <w:rFonts w:eastAsia="Georgia" w:hAnsi="Georgia" w:cs="Georgia"/>
          <w:color w:val="000000"/>
        </w:rPr>
        <w:t>Prudential expected loss, as implied by IRB regulations, typically uses downturn LGD and margins of conservatism, leading to:</w:t>
      </w:r>
    </w:p>
    <w:p w14:paraId="716F0C2C" w14:textId="77777777" w:rsidR="008C5D65" w:rsidRDefault="00000000">
      <w:pPr>
        <w:spacing w:after="210" w:line="360" w:lineRule="auto"/>
      </w:pPr>
      <m:oMathPara>
        <m:oMath>
          <m:r>
            <w:rPr>
              <w:rFonts w:ascii="Cambria Math" w:hAnsi="Cambria Math"/>
              <w:color w:val="000000"/>
            </w:rPr>
            <m:t>E</m:t>
          </m:r>
          <m:sSup>
            <m:sSupPr>
              <m:ctrlPr>
                <w:rPr>
                  <w:rFonts w:ascii="Cambria Math" w:hAnsi="Cambria Math"/>
                  <w:color w:val="000000"/>
                </w:rPr>
              </m:ctrlPr>
            </m:sSupPr>
            <m:e>
              <m:r>
                <w:rPr>
                  <w:rFonts w:ascii="Cambria Math" w:hAnsi="Cambria Math"/>
                  <w:color w:val="000000"/>
                </w:rPr>
                <m:t>L</m:t>
              </m:r>
            </m:e>
            <m:sup>
              <m:r>
                <w:rPr>
                  <w:rFonts w:ascii="Cambria Math" w:hAnsi="Cambria Math"/>
                  <w:color w:val="000000"/>
                </w:rPr>
                <m:t>reg</m:t>
              </m:r>
            </m:sup>
          </m:sSup>
          <m:r>
            <m:rPr>
              <m:sty m:val="p"/>
            </m:rPr>
            <w:rPr>
              <w:rFonts w:ascii="Cambria Math" w:hAnsi="Cambria Math"/>
              <w:color w:val="000000"/>
            </w:rPr>
            <m:t>=</m:t>
          </m:r>
          <m:r>
            <w:rPr>
              <w:rFonts w:ascii="Cambria Math" w:hAnsi="Cambria Math"/>
              <w:color w:val="000000"/>
            </w:rPr>
            <m:t>P</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TTC</m:t>
              </m:r>
            </m:sup>
          </m:sSup>
          <m:r>
            <m:rPr>
              <m:sty m:val="p"/>
            </m:rPr>
            <w:rPr>
              <w:rFonts w:ascii="Cambria Math" w:hAnsi="Cambria Math"/>
              <w:color w:val="000000"/>
            </w:rPr>
            <m:t>×</m:t>
          </m:r>
          <m:r>
            <w:rPr>
              <w:rFonts w:ascii="Cambria Math" w:hAnsi="Cambria Math"/>
              <w:color w:val="000000"/>
            </w:rPr>
            <m:t>LG</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downturn</m:t>
              </m:r>
            </m:sup>
          </m:sSup>
          <m:r>
            <m:rPr>
              <m:sty m:val="p"/>
            </m:rPr>
            <w:rPr>
              <w:rFonts w:ascii="Cambria Math" w:hAnsi="Cambria Math"/>
              <w:color w:val="000000"/>
            </w:rPr>
            <m:t>×</m:t>
          </m:r>
          <m:r>
            <w:rPr>
              <w:rFonts w:ascii="Cambria Math" w:hAnsi="Cambria Math"/>
              <w:color w:val="000000"/>
            </w:rPr>
            <m:t>EAD</m:t>
          </m:r>
          <m:r>
            <m:rPr>
              <m:sty m:val="p"/>
            </m:rPr>
            <w:rPr>
              <w:rFonts w:ascii="Cambria Math" w:hAnsi="Cambria Math"/>
              <w:color w:val="000000"/>
            </w:rPr>
            <m:t>,</m:t>
          </m:r>
        </m:oMath>
      </m:oMathPara>
    </w:p>
    <w:p w14:paraId="4C32DA69" w14:textId="77777777" w:rsidR="008C5D65" w:rsidRDefault="00000000">
      <w:pPr>
        <w:spacing w:after="210" w:line="360" w:lineRule="auto"/>
      </w:pPr>
      <w:r>
        <w:rPr>
          <w:rFonts w:eastAsia="Georgia" w:hAnsi="Georgia" w:cs="Georgia"/>
          <w:color w:val="000000"/>
        </w:rPr>
        <w:t xml:space="preserve">with </w:t>
      </w:r>
      <m:oMath>
        <m:r>
          <w:rPr>
            <w:rFonts w:ascii="Cambria Math" w:hAnsi="Cambria Math"/>
            <w:color w:val="000000"/>
          </w:rPr>
          <m:t>LG</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downturn</m:t>
            </m:r>
          </m:sup>
        </m:sSup>
        <m:r>
          <m:rPr>
            <m:sty m:val="p"/>
          </m:rPr>
          <w:rPr>
            <w:rFonts w:ascii="Cambria Math" w:hAnsi="Cambria Math"/>
            <w:color w:val="000000"/>
          </w:rPr>
          <m:t>&gt;</m:t>
        </m:r>
        <m:r>
          <w:rPr>
            <w:rFonts w:ascii="Cambria Math" w:hAnsi="Cambria Math"/>
            <w:color w:val="000000"/>
          </w:rPr>
          <m:t>LG</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clean</m:t>
            </m:r>
          </m:sup>
        </m:sSup>
      </m:oMath>
      <w:r>
        <w:rPr>
          <w:rFonts w:eastAsia="Georgia" w:hAnsi="Georgia" w:cs="Georgia"/>
          <w:color w:val="000000"/>
        </w:rPr>
        <w:t>. It is closer to TCEL in terms of TTC philosophy but systematically more conservative.</w:t>
      </w:r>
      <w:bookmarkStart w:id="42" w:name="fnref12_1"/>
      <w:bookmarkEnd w:id="42"/>
      <w:r>
        <w:fldChar w:fldCharType="begin"/>
      </w:r>
      <w:r>
        <w:instrText>HYPERLINK \l "fn12" \h</w:instrText>
      </w:r>
      <w:r>
        <w:fldChar w:fldCharType="separate"/>
      </w:r>
      <w:r>
        <w:rPr>
          <w:rFonts w:ascii="Helvetica Neue" w:eastAsia="Helvetica Neue" w:hAnsi="Helvetica Neue" w:cs="Helvetica Neue"/>
          <w:u w:val="single"/>
          <w:vertAlign w:val="superscript"/>
        </w:rPr>
        <w:t>[12]</w:t>
      </w:r>
      <w:r>
        <w:fldChar w:fldCharType="end"/>
      </w:r>
      <w:bookmarkStart w:id="43" w:name="fnref3_7"/>
      <w:bookmarkEnd w:id="4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55F1D3AC" w14:textId="77777777" w:rsidR="008C5D65" w:rsidRDefault="00000000">
      <w:pPr>
        <w:spacing w:after="210" w:line="360" w:lineRule="auto"/>
      </w:pPr>
      <w:r>
        <w:rPr>
          <w:rFonts w:eastAsia="Georgia" w:hAnsi="Georgia" w:cs="Georgia"/>
          <w:color w:val="000000"/>
        </w:rPr>
        <w:t>Table 1 summarises the key differences.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06"/>
        <w:gridCol w:w="1314"/>
        <w:gridCol w:w="1868"/>
        <w:gridCol w:w="1100"/>
        <w:gridCol w:w="1135"/>
        <w:gridCol w:w="2155"/>
        <w:gridCol w:w="648"/>
      </w:tblGrid>
      <w:tr w:rsidR="008C5D65" w14:paraId="1B09B916" w14:textId="77777777">
        <w:trPr>
          <w:gridAfter w:val="1"/>
          <w:cantSplit/>
          <w:tblCellSpacing w:w="0" w:type="dxa"/>
          <w:jc w:val="center"/>
        </w:trPr>
        <w:tc>
          <w:tcPr>
            <w:tcW w:w="0" w:type="auto"/>
            <w:tcBorders>
              <w:top w:val="single" w:sz="1" w:space="0" w:color="000000"/>
              <w:bottom w:val="single" w:sz="1" w:space="0" w:color="000000"/>
              <w:right w:val="single" w:sz="1" w:space="0" w:color="000000"/>
            </w:tcBorders>
          </w:tcPr>
          <w:p w14:paraId="39524C0B" w14:textId="77777777" w:rsidR="008C5D65" w:rsidRDefault="00000000">
            <w:pPr>
              <w:spacing w:line="360" w:lineRule="auto"/>
            </w:pPr>
            <w:r>
              <w:rPr>
                <w:rFonts w:ascii="Helvetica Neue" w:eastAsia="Helvetica Neue" w:hAnsi="Helvetica Neue" w:cs="Helvetica Neue"/>
                <w:color w:val="000000"/>
                <w:sz w:val="17"/>
              </w:rPr>
              <w:t>Metric</w:t>
            </w:r>
          </w:p>
        </w:tc>
        <w:tc>
          <w:tcPr>
            <w:tcW w:w="0" w:type="auto"/>
            <w:tcBorders>
              <w:top w:val="single" w:sz="1" w:space="0" w:color="000000"/>
              <w:bottom w:val="single" w:sz="1" w:space="0" w:color="000000"/>
              <w:right w:val="single" w:sz="1" w:space="0" w:color="000000"/>
            </w:tcBorders>
          </w:tcPr>
          <w:p w14:paraId="253C24AE" w14:textId="77777777" w:rsidR="008C5D65" w:rsidRDefault="00000000">
            <w:pPr>
              <w:spacing w:line="360" w:lineRule="auto"/>
            </w:pPr>
            <w:r>
              <w:rPr>
                <w:rFonts w:ascii="Helvetica Neue" w:eastAsia="Helvetica Neue" w:hAnsi="Helvetica Neue" w:cs="Helvetica Neue"/>
                <w:color w:val="000000"/>
                <w:sz w:val="17"/>
              </w:rPr>
              <w:t>PD type</w:t>
            </w:r>
          </w:p>
        </w:tc>
        <w:tc>
          <w:tcPr>
            <w:tcW w:w="0" w:type="auto"/>
            <w:tcBorders>
              <w:top w:val="single" w:sz="1" w:space="0" w:color="000000"/>
              <w:bottom w:val="single" w:sz="1" w:space="0" w:color="000000"/>
              <w:right w:val="single" w:sz="1" w:space="0" w:color="000000"/>
            </w:tcBorders>
          </w:tcPr>
          <w:p w14:paraId="0F57E328" w14:textId="77777777" w:rsidR="008C5D65" w:rsidRDefault="00000000">
            <w:pPr>
              <w:spacing w:line="360" w:lineRule="auto"/>
            </w:pPr>
            <w:r>
              <w:rPr>
                <w:rFonts w:ascii="Helvetica Neue" w:eastAsia="Helvetica Neue" w:hAnsi="Helvetica Neue" w:cs="Helvetica Neue"/>
                <w:color w:val="000000"/>
                <w:sz w:val="17"/>
              </w:rPr>
              <w:t>LGD type</w:t>
            </w:r>
          </w:p>
        </w:tc>
        <w:tc>
          <w:tcPr>
            <w:tcW w:w="0" w:type="auto"/>
            <w:tcBorders>
              <w:top w:val="single" w:sz="1" w:space="0" w:color="000000"/>
              <w:bottom w:val="single" w:sz="1" w:space="0" w:color="000000"/>
              <w:right w:val="single" w:sz="1" w:space="0" w:color="000000"/>
            </w:tcBorders>
          </w:tcPr>
          <w:p w14:paraId="39B234FF" w14:textId="77777777" w:rsidR="008C5D65" w:rsidRDefault="00000000">
            <w:pPr>
              <w:spacing w:line="360" w:lineRule="auto"/>
            </w:pPr>
            <w:r>
              <w:rPr>
                <w:rFonts w:ascii="Helvetica Neue" w:eastAsia="Helvetica Neue" w:hAnsi="Helvetica Neue" w:cs="Helvetica Neue"/>
                <w:color w:val="000000"/>
                <w:sz w:val="17"/>
              </w:rPr>
              <w:t>Horizon</w:t>
            </w:r>
          </w:p>
        </w:tc>
        <w:tc>
          <w:tcPr>
            <w:tcW w:w="0" w:type="auto"/>
            <w:tcBorders>
              <w:top w:val="single" w:sz="1" w:space="0" w:color="000000"/>
              <w:bottom w:val="single" w:sz="1" w:space="0" w:color="000000"/>
              <w:right w:val="single" w:sz="1" w:space="0" w:color="000000"/>
            </w:tcBorders>
          </w:tcPr>
          <w:p w14:paraId="04A7EEB6" w14:textId="77777777" w:rsidR="008C5D65" w:rsidRDefault="00000000">
            <w:pPr>
              <w:spacing w:line="360" w:lineRule="auto"/>
            </w:pPr>
            <w:r>
              <w:rPr>
                <w:rFonts w:ascii="Helvetica Neue" w:eastAsia="Helvetica Neue" w:hAnsi="Helvetica Neue" w:cs="Helvetica Neue"/>
                <w:color w:val="000000"/>
                <w:sz w:val="17"/>
              </w:rPr>
              <w:t>Macro info</w:t>
            </w:r>
          </w:p>
        </w:tc>
        <w:tc>
          <w:tcPr>
            <w:tcW w:w="0" w:type="auto"/>
            <w:tcBorders>
              <w:top w:val="single" w:sz="1" w:space="0" w:color="000000"/>
              <w:bottom w:val="single" w:sz="1" w:space="0" w:color="000000"/>
            </w:tcBorders>
          </w:tcPr>
          <w:p w14:paraId="397D67F3" w14:textId="77777777" w:rsidR="008C5D65" w:rsidRDefault="00000000">
            <w:pPr>
              <w:spacing w:line="360" w:lineRule="auto"/>
            </w:pPr>
            <w:r>
              <w:rPr>
                <w:rFonts w:ascii="Helvetica Neue" w:eastAsia="Helvetica Neue" w:hAnsi="Helvetica Neue" w:cs="Helvetica Neue"/>
                <w:color w:val="000000"/>
                <w:sz w:val="17"/>
              </w:rPr>
              <w:t>Prudential conservatism</w:t>
            </w:r>
          </w:p>
        </w:tc>
      </w:tr>
      <w:tr w:rsidR="008C5D65" w14:paraId="6AEAA3A3" w14:textId="77777777">
        <w:trPr>
          <w:gridAfter w:val="1"/>
          <w:cantSplit/>
          <w:tblCellSpacing w:w="0" w:type="dxa"/>
          <w:jc w:val="center"/>
        </w:trPr>
        <w:tc>
          <w:tcPr>
            <w:tcW w:w="0" w:type="auto"/>
            <w:tcBorders>
              <w:top w:val="single" w:sz="1" w:space="0" w:color="000000"/>
              <w:bottom w:val="single" w:sz="1" w:space="0" w:color="000000"/>
              <w:right w:val="single" w:sz="1" w:space="0" w:color="000000"/>
            </w:tcBorders>
          </w:tcPr>
          <w:p w14:paraId="5F0E325E" w14:textId="77777777" w:rsidR="008C5D65" w:rsidRDefault="00000000">
            <w:pPr>
              <w:spacing w:line="360" w:lineRule="auto"/>
            </w:pPr>
            <w:r>
              <w:rPr>
                <w:rFonts w:ascii="Helvetica Neue" w:eastAsia="Helvetica Neue" w:hAnsi="Helvetica Neue" w:cs="Helvetica Neue"/>
                <w:color w:val="000000"/>
                <w:sz w:val="17"/>
              </w:rPr>
              <w:t>TCEL</w:t>
            </w:r>
          </w:p>
        </w:tc>
        <w:tc>
          <w:tcPr>
            <w:tcW w:w="0" w:type="auto"/>
            <w:tcBorders>
              <w:top w:val="single" w:sz="1" w:space="0" w:color="000000"/>
              <w:bottom w:val="single" w:sz="1" w:space="0" w:color="000000"/>
              <w:right w:val="single" w:sz="1" w:space="0" w:color="000000"/>
            </w:tcBorders>
          </w:tcPr>
          <w:p w14:paraId="3EAF34E3" w14:textId="77777777" w:rsidR="008C5D65" w:rsidRDefault="00000000">
            <w:pPr>
              <w:spacing w:line="360" w:lineRule="auto"/>
            </w:pPr>
            <w:r>
              <w:rPr>
                <w:rFonts w:ascii="Helvetica Neue" w:eastAsia="Helvetica Neue" w:hAnsi="Helvetica Neue" w:cs="Helvetica Neue"/>
                <w:color w:val="000000"/>
                <w:sz w:val="17"/>
              </w:rPr>
              <w:t>TTC</w:t>
            </w:r>
          </w:p>
        </w:tc>
        <w:tc>
          <w:tcPr>
            <w:tcW w:w="0" w:type="auto"/>
            <w:tcBorders>
              <w:top w:val="single" w:sz="1" w:space="0" w:color="000000"/>
              <w:bottom w:val="single" w:sz="1" w:space="0" w:color="000000"/>
              <w:right w:val="single" w:sz="1" w:space="0" w:color="000000"/>
            </w:tcBorders>
          </w:tcPr>
          <w:p w14:paraId="628CC227" w14:textId="77777777" w:rsidR="008C5D65" w:rsidRDefault="00000000">
            <w:pPr>
              <w:spacing w:line="360" w:lineRule="auto"/>
            </w:pPr>
            <w:r>
              <w:rPr>
                <w:rFonts w:ascii="Helvetica Neue" w:eastAsia="Helvetica Neue" w:hAnsi="Helvetica Neue" w:cs="Helvetica Neue"/>
                <w:color w:val="000000"/>
                <w:sz w:val="17"/>
              </w:rPr>
              <w:t>Clean (no MoC)</w:t>
            </w:r>
          </w:p>
        </w:tc>
        <w:tc>
          <w:tcPr>
            <w:tcW w:w="0" w:type="auto"/>
            <w:tcBorders>
              <w:top w:val="single" w:sz="1" w:space="0" w:color="000000"/>
              <w:bottom w:val="single" w:sz="1" w:space="0" w:color="000000"/>
              <w:right w:val="single" w:sz="1" w:space="0" w:color="000000"/>
            </w:tcBorders>
          </w:tcPr>
          <w:p w14:paraId="4D013C44" w14:textId="77777777" w:rsidR="008C5D65" w:rsidRDefault="00000000">
            <w:pPr>
              <w:spacing w:line="360" w:lineRule="auto"/>
            </w:pPr>
            <w:r>
              <w:rPr>
                <w:rFonts w:ascii="Helvetica Neue" w:eastAsia="Helvetica Neue" w:hAnsi="Helvetica Neue" w:cs="Helvetica Neue"/>
                <w:color w:val="000000"/>
                <w:sz w:val="17"/>
              </w:rPr>
              <w:t>1‑year/run</w:t>
            </w:r>
          </w:p>
        </w:tc>
        <w:tc>
          <w:tcPr>
            <w:tcW w:w="0" w:type="auto"/>
            <w:tcBorders>
              <w:top w:val="single" w:sz="1" w:space="0" w:color="000000"/>
              <w:bottom w:val="single" w:sz="1" w:space="0" w:color="000000"/>
              <w:right w:val="single" w:sz="1" w:space="0" w:color="000000"/>
            </w:tcBorders>
          </w:tcPr>
          <w:p w14:paraId="4371DE56" w14:textId="77777777" w:rsidR="008C5D65" w:rsidRDefault="00000000">
            <w:pPr>
              <w:spacing w:line="360" w:lineRule="auto"/>
            </w:pPr>
            <w:r>
              <w:rPr>
                <w:rFonts w:ascii="Helvetica Neue" w:eastAsia="Helvetica Neue" w:hAnsi="Helvetica Neue" w:cs="Helvetica Neue"/>
                <w:color w:val="000000"/>
                <w:sz w:val="17"/>
              </w:rPr>
              <w:t>No</w:t>
            </w:r>
          </w:p>
        </w:tc>
        <w:tc>
          <w:tcPr>
            <w:tcW w:w="0" w:type="auto"/>
            <w:tcBorders>
              <w:top w:val="single" w:sz="1" w:space="0" w:color="000000"/>
              <w:bottom w:val="single" w:sz="1" w:space="0" w:color="000000"/>
            </w:tcBorders>
          </w:tcPr>
          <w:p w14:paraId="026B56B9" w14:textId="77777777" w:rsidR="008C5D65" w:rsidRDefault="00000000">
            <w:pPr>
              <w:spacing w:line="360" w:lineRule="auto"/>
            </w:pPr>
            <w:r>
              <w:rPr>
                <w:rFonts w:ascii="Helvetica Neue" w:eastAsia="Helvetica Neue" w:hAnsi="Helvetica Neue" w:cs="Helvetica Neue"/>
                <w:color w:val="000000"/>
                <w:sz w:val="17"/>
              </w:rPr>
              <w:t>No</w:t>
            </w:r>
          </w:p>
        </w:tc>
      </w:tr>
      <w:tr w:rsidR="008C5D65" w14:paraId="61E99911" w14:textId="77777777">
        <w:trPr>
          <w:gridAfter w:val="1"/>
          <w:cantSplit/>
          <w:tblCellSpacing w:w="0" w:type="dxa"/>
          <w:jc w:val="center"/>
        </w:trPr>
        <w:tc>
          <w:tcPr>
            <w:tcW w:w="0" w:type="auto"/>
            <w:tcBorders>
              <w:top w:val="single" w:sz="1" w:space="0" w:color="000000"/>
              <w:bottom w:val="single" w:sz="1" w:space="0" w:color="000000"/>
              <w:right w:val="single" w:sz="1" w:space="0" w:color="000000"/>
            </w:tcBorders>
          </w:tcPr>
          <w:p w14:paraId="46949968" w14:textId="77777777" w:rsidR="008C5D65" w:rsidRDefault="00000000">
            <w:pPr>
              <w:spacing w:line="360" w:lineRule="auto"/>
            </w:pPr>
            <w:r>
              <w:rPr>
                <w:rFonts w:ascii="Helvetica Neue" w:eastAsia="Helvetica Neue" w:hAnsi="Helvetica Neue" w:cs="Helvetica Neue"/>
                <w:color w:val="000000"/>
                <w:sz w:val="17"/>
              </w:rPr>
              <w:t>IFRS 9 ECL</w:t>
            </w:r>
          </w:p>
        </w:tc>
        <w:tc>
          <w:tcPr>
            <w:tcW w:w="0" w:type="auto"/>
            <w:tcBorders>
              <w:top w:val="single" w:sz="1" w:space="0" w:color="000000"/>
              <w:bottom w:val="single" w:sz="1" w:space="0" w:color="000000"/>
              <w:right w:val="single" w:sz="1" w:space="0" w:color="000000"/>
            </w:tcBorders>
          </w:tcPr>
          <w:p w14:paraId="4DCDF8A2" w14:textId="77777777" w:rsidR="008C5D65" w:rsidRDefault="00000000">
            <w:pPr>
              <w:spacing w:line="360" w:lineRule="auto"/>
            </w:pPr>
            <w:r>
              <w:rPr>
                <w:rFonts w:ascii="Helvetica Neue" w:eastAsia="Helvetica Neue" w:hAnsi="Helvetica Neue" w:cs="Helvetica Neue"/>
                <w:color w:val="000000"/>
                <w:sz w:val="17"/>
              </w:rPr>
              <w:t>PIT, scenario</w:t>
            </w:r>
          </w:p>
        </w:tc>
        <w:tc>
          <w:tcPr>
            <w:tcW w:w="0" w:type="auto"/>
            <w:tcBorders>
              <w:top w:val="single" w:sz="1" w:space="0" w:color="000000"/>
              <w:bottom w:val="single" w:sz="1" w:space="0" w:color="000000"/>
              <w:right w:val="single" w:sz="1" w:space="0" w:color="000000"/>
            </w:tcBorders>
          </w:tcPr>
          <w:p w14:paraId="71C82E1F" w14:textId="77777777" w:rsidR="008C5D65" w:rsidRDefault="00000000">
            <w:pPr>
              <w:spacing w:line="360" w:lineRule="auto"/>
            </w:pPr>
            <w:r>
              <w:rPr>
                <w:rFonts w:ascii="Helvetica Neue" w:eastAsia="Helvetica Neue" w:hAnsi="Helvetica Neue" w:cs="Helvetica Neue"/>
                <w:color w:val="000000"/>
                <w:sz w:val="17"/>
              </w:rPr>
              <w:t>Scenario‑dependent</w:t>
            </w:r>
          </w:p>
        </w:tc>
        <w:tc>
          <w:tcPr>
            <w:tcW w:w="0" w:type="auto"/>
            <w:tcBorders>
              <w:top w:val="single" w:sz="1" w:space="0" w:color="000000"/>
              <w:bottom w:val="single" w:sz="1" w:space="0" w:color="000000"/>
              <w:right w:val="single" w:sz="1" w:space="0" w:color="000000"/>
            </w:tcBorders>
          </w:tcPr>
          <w:p w14:paraId="279E6236" w14:textId="77777777" w:rsidR="008C5D65" w:rsidRDefault="00000000">
            <w:pPr>
              <w:spacing w:line="360" w:lineRule="auto"/>
            </w:pPr>
            <w:r>
              <w:rPr>
                <w:rFonts w:ascii="Helvetica Neue" w:eastAsia="Helvetica Neue" w:hAnsi="Helvetica Neue" w:cs="Helvetica Neue"/>
                <w:color w:val="000000"/>
                <w:sz w:val="17"/>
              </w:rPr>
              <w:t>12m/life</w:t>
            </w:r>
          </w:p>
        </w:tc>
        <w:tc>
          <w:tcPr>
            <w:tcW w:w="0" w:type="auto"/>
            <w:tcBorders>
              <w:top w:val="single" w:sz="1" w:space="0" w:color="000000"/>
              <w:bottom w:val="single" w:sz="1" w:space="0" w:color="000000"/>
              <w:right w:val="single" w:sz="1" w:space="0" w:color="000000"/>
            </w:tcBorders>
          </w:tcPr>
          <w:p w14:paraId="022A6A58" w14:textId="77777777" w:rsidR="008C5D65" w:rsidRDefault="00000000">
            <w:pPr>
              <w:spacing w:line="360" w:lineRule="auto"/>
            </w:pPr>
            <w:r>
              <w:rPr>
                <w:rFonts w:ascii="Helvetica Neue" w:eastAsia="Helvetica Neue" w:hAnsi="Helvetica Neue" w:cs="Helvetica Neue"/>
                <w:color w:val="000000"/>
                <w:sz w:val="17"/>
              </w:rPr>
              <w:t>Yes</w:t>
            </w:r>
          </w:p>
        </w:tc>
        <w:tc>
          <w:tcPr>
            <w:tcW w:w="0" w:type="auto"/>
            <w:tcBorders>
              <w:top w:val="single" w:sz="1" w:space="0" w:color="000000"/>
              <w:bottom w:val="single" w:sz="1" w:space="0" w:color="000000"/>
            </w:tcBorders>
          </w:tcPr>
          <w:p w14:paraId="303E5257" w14:textId="77777777" w:rsidR="008C5D65" w:rsidRDefault="00000000">
            <w:pPr>
              <w:spacing w:line="360" w:lineRule="auto"/>
            </w:pPr>
            <w:r>
              <w:rPr>
                <w:rFonts w:ascii="Helvetica Neue" w:eastAsia="Helvetica Neue" w:hAnsi="Helvetica Neue" w:cs="Helvetica Neue"/>
                <w:color w:val="000000"/>
                <w:sz w:val="17"/>
              </w:rPr>
              <w:t>Indirect</w:t>
            </w:r>
          </w:p>
        </w:tc>
      </w:tr>
      <w:tr w:rsidR="008C5D65" w14:paraId="68133F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A1FA44" w14:textId="77777777" w:rsidR="008C5D65" w:rsidRDefault="00000000">
            <w:pPr>
              <w:spacing w:line="360" w:lineRule="auto"/>
            </w:pPr>
            <w:r>
              <w:rPr>
                <w:rFonts w:ascii="Helvetica Neue" w:eastAsia="Helvetica Neue" w:hAnsi="Helvetica Neue" w:cs="Helvetica Neue"/>
                <w:color w:val="000000"/>
                <w:sz w:val="17"/>
              </w:rPr>
              <w:t>EL</w:t>
            </w:r>
            <m:oMath>
              <m:sSup>
                <m:sSupPr>
                  <m:ctrlPr>
                    <w:rPr>
                      <w:rFonts w:ascii="Cambria Math" w:hAnsi="Cambria Math"/>
                      <w:color w:val="000000"/>
                      <w:sz w:val="17"/>
                    </w:rPr>
                  </m:ctrlPr>
                </m:sSupPr>
                <m:e/>
                <m:sup/>
              </m:sSup>
            </m:oMath>
          </w:p>
        </w:tc>
        <w:tc>
          <w:tcPr>
            <w:tcW w:w="0" w:type="auto"/>
            <w:tcBorders>
              <w:top w:val="single" w:sz="1" w:space="0" w:color="000000"/>
              <w:bottom w:val="single" w:sz="1" w:space="0" w:color="000000"/>
              <w:right w:val="single" w:sz="1" w:space="0" w:color="000000"/>
            </w:tcBorders>
          </w:tcPr>
          <w:p w14:paraId="360ADB6B" w14:textId="77777777" w:rsidR="008C5D65" w:rsidRDefault="00000000">
            <w:pPr>
              <w:spacing w:line="360" w:lineRule="auto"/>
            </w:pPr>
            <w:r>
              <w:rPr>
                <w:rFonts w:ascii="Helvetica Neue" w:eastAsia="Helvetica Neue" w:hAnsi="Helvetica Neue" w:cs="Helvetica Neue"/>
                <w:color w:val="000000"/>
                <w:sz w:val="17"/>
              </w:rPr>
              <w:t>TTC</w:t>
            </w:r>
          </w:p>
        </w:tc>
        <w:tc>
          <w:tcPr>
            <w:tcW w:w="0" w:type="auto"/>
            <w:tcBorders>
              <w:top w:val="single" w:sz="1" w:space="0" w:color="000000"/>
              <w:bottom w:val="single" w:sz="1" w:space="0" w:color="000000"/>
              <w:right w:val="single" w:sz="1" w:space="0" w:color="000000"/>
            </w:tcBorders>
          </w:tcPr>
          <w:p w14:paraId="5990741B" w14:textId="77777777" w:rsidR="008C5D65" w:rsidRDefault="00000000">
            <w:pPr>
              <w:spacing w:line="360" w:lineRule="auto"/>
            </w:pPr>
            <w:r>
              <w:rPr>
                <w:rFonts w:ascii="Helvetica Neue" w:eastAsia="Helvetica Neue" w:hAnsi="Helvetica Neue" w:cs="Helvetica Neue"/>
                <w:color w:val="000000"/>
                <w:sz w:val="17"/>
              </w:rPr>
              <w:t>Downturn + MoC</w:t>
            </w:r>
          </w:p>
        </w:tc>
        <w:tc>
          <w:tcPr>
            <w:tcW w:w="0" w:type="auto"/>
            <w:tcBorders>
              <w:top w:val="single" w:sz="1" w:space="0" w:color="000000"/>
              <w:bottom w:val="single" w:sz="1" w:space="0" w:color="000000"/>
              <w:right w:val="single" w:sz="1" w:space="0" w:color="000000"/>
            </w:tcBorders>
          </w:tcPr>
          <w:p w14:paraId="15C320A7" w14:textId="77777777" w:rsidR="008C5D65" w:rsidRDefault="00000000">
            <w:pPr>
              <w:spacing w:line="360" w:lineRule="auto"/>
            </w:pPr>
            <w:r>
              <w:rPr>
                <w:rFonts w:ascii="Helvetica Neue" w:eastAsia="Helvetica Neue" w:hAnsi="Helvetica Neue" w:cs="Helvetica Neue"/>
                <w:color w:val="000000"/>
                <w:sz w:val="17"/>
              </w:rPr>
              <w:t>1‑year</w:t>
            </w:r>
          </w:p>
        </w:tc>
        <w:tc>
          <w:tcPr>
            <w:tcW w:w="0" w:type="auto"/>
            <w:tcBorders>
              <w:top w:val="single" w:sz="1" w:space="0" w:color="000000"/>
              <w:bottom w:val="single" w:sz="1" w:space="0" w:color="000000"/>
              <w:right w:val="single" w:sz="1" w:space="0" w:color="000000"/>
            </w:tcBorders>
          </w:tcPr>
          <w:p w14:paraId="79C86F45" w14:textId="77777777" w:rsidR="008C5D65" w:rsidRDefault="00000000">
            <w:pPr>
              <w:spacing w:line="360" w:lineRule="auto"/>
            </w:pPr>
            <w:r>
              <w:rPr>
                <w:rFonts w:ascii="Helvetica Neue" w:eastAsia="Helvetica Neue" w:hAnsi="Helvetica Neue" w:cs="Helvetica Neue"/>
                <w:color w:val="000000"/>
                <w:sz w:val="17"/>
              </w:rPr>
              <w:t>No</w:t>
            </w:r>
          </w:p>
        </w:tc>
        <w:tc>
          <w:tcPr>
            <w:tcW w:w="0" w:type="auto"/>
            <w:tcBorders>
              <w:top w:val="single" w:sz="1" w:space="0" w:color="000000"/>
              <w:bottom w:val="single" w:sz="1" w:space="0" w:color="000000"/>
              <w:right w:val="single" w:sz="1" w:space="0" w:color="000000"/>
            </w:tcBorders>
          </w:tcPr>
          <w:p w14:paraId="1961AAA5" w14:textId="77777777" w:rsidR="008C5D65" w:rsidRDefault="00000000">
            <w:pPr>
              <w:spacing w:line="360" w:lineRule="auto"/>
            </w:pPr>
            <w:r>
              <w:rPr>
                <w:rFonts w:ascii="Helvetica Neue" w:eastAsia="Helvetica Neue" w:hAnsi="Helvetica Neue" w:cs="Helvetica Neue"/>
                <w:color w:val="000000"/>
                <w:sz w:val="17"/>
              </w:rPr>
              <w:t>Yes</w:t>
            </w:r>
          </w:p>
        </w:tc>
        <w:tc>
          <w:tcPr>
            <w:tcW w:w="0" w:type="auto"/>
            <w:tcBorders>
              <w:top w:val="single" w:sz="1" w:space="0" w:color="000000"/>
              <w:bottom w:val="single" w:sz="1" w:space="0" w:color="000000"/>
            </w:tcBorders>
          </w:tcPr>
          <w:p w14:paraId="52DC4A17" w14:textId="77777777" w:rsidR="008C5D65" w:rsidRDefault="00000000">
            <w:pPr>
              <w:spacing w:line="360" w:lineRule="auto"/>
            </w:pPr>
            <w:hyperlink w:anchor="fn5">
              <w:r>
                <w:rPr>
                  <w:rFonts w:ascii="Helvetica Neue" w:eastAsia="Helvetica Neue" w:hAnsi="Helvetica Neue" w:cs="Helvetica Neue"/>
                  <w:sz w:val="17"/>
                  <w:u w:val="single"/>
                  <w:vertAlign w:val="superscript"/>
                </w:rPr>
                <w:t>[5]</w:t>
              </w:r>
            </w:hyperlink>
            <w:hyperlink w:anchor="fn3">
              <w:r>
                <w:rPr>
                  <w:rFonts w:ascii="Helvetica Neue" w:eastAsia="Helvetica Neue" w:hAnsi="Helvetica Neue" w:cs="Helvetica Neue"/>
                  <w:sz w:val="17"/>
                  <w:u w:val="single"/>
                  <w:vertAlign w:val="superscript"/>
                </w:rPr>
                <w:t>[3]</w:t>
              </w:r>
            </w:hyperlink>
            <w:hyperlink w:anchor="fn6">
              <w:r>
                <w:rPr>
                  <w:rFonts w:ascii="Helvetica Neue" w:eastAsia="Helvetica Neue" w:hAnsi="Helvetica Neue" w:cs="Helvetica Neue"/>
                  <w:sz w:val="17"/>
                  <w:u w:val="single"/>
                  <w:vertAlign w:val="superscript"/>
                </w:rPr>
                <w:t>[6]</w:t>
              </w:r>
            </w:hyperlink>
          </w:p>
        </w:tc>
      </w:tr>
    </w:tbl>
    <w:p w14:paraId="457807F6" w14:textId="77777777" w:rsidR="008C5D65" w:rsidRDefault="008C5D65"/>
    <w:p w14:paraId="28D648E0" w14:textId="77777777" w:rsidR="008C5D65" w:rsidRDefault="008328FE">
      <w:pPr>
        <w:spacing w:before="210" w:after="0" w:line="360" w:lineRule="auto"/>
      </w:pPr>
      <w:r>
        <w:rPr>
          <w:noProof/>
        </w:rPr>
      </w:r>
      <w:r>
        <w:rPr>
          <w:noProof/>
        </w:rPr>
        <w:pict w14:anchorId="1DF13F17">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FB6916B" w14:textId="77777777" w:rsidR="008C5D65" w:rsidRDefault="00000000">
      <w:pPr>
        <w:spacing w:before="315" w:after="105" w:line="360" w:lineRule="auto"/>
        <w:ind w:left="-30"/>
      </w:pPr>
      <w:bookmarkStart w:id="44" w:name="bm_3_pricing_implications_of_using_tcel"/>
      <w:r>
        <w:rPr>
          <w:rFonts w:eastAsia="Georgia" w:hAnsi="Georgia" w:cs="Georgia"/>
          <w:b/>
          <w:color w:val="000000"/>
          <w:sz w:val="24"/>
        </w:rPr>
        <w:t>3. Pricing Implications of Using TCEL</w:t>
      </w:r>
      <w:bookmarkEnd w:id="44"/>
    </w:p>
    <w:p w14:paraId="59F579C1" w14:textId="77777777" w:rsidR="008C5D65" w:rsidRDefault="00000000">
      <w:pPr>
        <w:spacing w:before="315" w:after="105" w:line="360" w:lineRule="auto"/>
        <w:ind w:left="-30"/>
      </w:pPr>
      <w:bookmarkStart w:id="45" w:name="bm_3_1_pricing_efficiency_and_for_f8f2c0"/>
      <w:r>
        <w:rPr>
          <w:rFonts w:eastAsia="Georgia" w:hAnsi="Georgia" w:cs="Georgia"/>
          <w:b/>
          <w:color w:val="000000"/>
          <w:sz w:val="24"/>
        </w:rPr>
        <w:t>3.1 Pricing Efficiency and Forward‑Looking Risk</w:t>
      </w:r>
      <w:bookmarkEnd w:id="45"/>
    </w:p>
    <w:p w14:paraId="394CD0AF" w14:textId="77777777" w:rsidR="008C5D65" w:rsidRDefault="00000000">
      <w:pPr>
        <w:spacing w:after="210" w:line="360" w:lineRule="auto"/>
      </w:pPr>
      <w:r>
        <w:rPr>
          <w:rFonts w:eastAsia="Georgia" w:hAnsi="Georgia" w:cs="Georgia"/>
          <w:color w:val="000000"/>
        </w:rPr>
        <w:t>In a standard credit pricing framework, the required spread can be decomposed as:</w:t>
      </w:r>
    </w:p>
    <w:p w14:paraId="52EE8ECF" w14:textId="77777777" w:rsidR="008C5D65" w:rsidRDefault="00000000">
      <w:pPr>
        <w:spacing w:after="210" w:line="360" w:lineRule="auto"/>
      </w:pPr>
      <m:oMathPara>
        <m:oMath>
          <m:r>
            <w:rPr>
              <w:rFonts w:ascii="Cambria Math" w:hAnsi="Cambria Math"/>
              <w:color w:val="000000"/>
            </w:rPr>
            <m:t>Spread</m:t>
          </m:r>
          <m:r>
            <m:rPr>
              <m:sty m:val="p"/>
            </m:rPr>
            <w:rPr>
              <w:rFonts w:ascii="Cambria Math" w:hAnsi="Cambria Math"/>
              <w:color w:val="000000"/>
            </w:rPr>
            <m:t>=</m:t>
          </m:r>
          <m:r>
            <w:rPr>
              <w:rFonts w:ascii="Cambria Math" w:hAnsi="Cambria Math"/>
              <w:color w:val="000000"/>
            </w:rPr>
            <m:t>EL</m:t>
          </m:r>
          <m:r>
            <m:rPr>
              <m:sty m:val="p"/>
            </m:rPr>
            <w:rPr>
              <w:rFonts w:ascii="Cambria Math" w:hAnsi="Cambria Math"/>
              <w:color w:val="000000"/>
            </w:rPr>
            <m:t>+</m:t>
          </m:r>
          <m:r>
            <w:rPr>
              <w:rFonts w:ascii="Cambria Math" w:hAnsi="Cambria Math"/>
              <w:color w:val="000000"/>
            </w:rPr>
            <m:t>CostOfCapital</m:t>
          </m:r>
          <m:r>
            <m:rPr>
              <m:sty m:val="p"/>
            </m:rPr>
            <w:rPr>
              <w:rFonts w:ascii="Cambria Math" w:hAnsi="Cambria Math"/>
              <w:color w:val="000000"/>
            </w:rPr>
            <m:t>+</m:t>
          </m:r>
          <m:r>
            <w:rPr>
              <w:rFonts w:ascii="Cambria Math" w:hAnsi="Cambria Math"/>
              <w:color w:val="000000"/>
            </w:rPr>
            <m:t>Funding</m:t>
          </m:r>
          <m:r>
            <m:rPr>
              <m:sty m:val="p"/>
            </m:rPr>
            <w:rPr>
              <w:rFonts w:ascii="Cambria Math" w:hAnsi="Cambria Math"/>
              <w:color w:val="000000"/>
            </w:rPr>
            <m:t>+</m:t>
          </m:r>
          <m:r>
            <w:rPr>
              <w:rFonts w:ascii="Cambria Math" w:hAnsi="Cambria Math"/>
              <w:color w:val="000000"/>
            </w:rPr>
            <m:t>Opex</m:t>
          </m:r>
          <m:r>
            <m:rPr>
              <m:sty m:val="p"/>
            </m:rPr>
            <w:rPr>
              <w:rFonts w:ascii="Cambria Math" w:hAnsi="Cambria Math"/>
              <w:color w:val="000000"/>
            </w:rPr>
            <m:t>+</m:t>
          </m:r>
          <m:r>
            <w:rPr>
              <w:rFonts w:ascii="Cambria Math" w:hAnsi="Cambria Math"/>
              <w:color w:val="000000"/>
            </w:rPr>
            <m:t>Margin</m:t>
          </m:r>
          <m:r>
            <m:rPr>
              <m:sty m:val="p"/>
            </m:rPr>
            <w:rPr>
              <w:rFonts w:ascii="Cambria Math" w:hAnsi="Cambria Math"/>
              <w:color w:val="000000"/>
            </w:rPr>
            <m:t>,</m:t>
          </m:r>
        </m:oMath>
      </m:oMathPara>
    </w:p>
    <w:p w14:paraId="24E96EBF" w14:textId="77777777" w:rsidR="008C5D65" w:rsidRDefault="00000000">
      <w:pPr>
        <w:spacing w:after="210" w:line="360" w:lineRule="auto"/>
      </w:pPr>
      <w:r>
        <w:rPr>
          <w:rFonts w:eastAsia="Georgia" w:hAnsi="Georgia" w:cs="Georgia"/>
          <w:color w:val="000000"/>
        </w:rPr>
        <w:t xml:space="preserve">where </w:t>
      </w:r>
      <m:oMath>
        <m:r>
          <w:rPr>
            <w:rFonts w:ascii="Cambria Math" w:hAnsi="Cambria Math"/>
            <w:color w:val="000000"/>
          </w:rPr>
          <m:t>EL</m:t>
        </m:r>
      </m:oMath>
      <w:r>
        <w:rPr>
          <w:rFonts w:eastAsia="Georgia" w:hAnsi="Georgia" w:cs="Georgia"/>
          <w:color w:val="000000"/>
        </w:rPr>
        <w:t xml:space="preserve"> is the expected loss over the pricing horizon, and CostOfCapital reflects compensation for unexpected losses and capital costs. Pricing efficiency requires that </w:t>
      </w:r>
      <m:oMath>
        <m:r>
          <w:rPr>
            <w:rFonts w:ascii="Cambria Math" w:hAnsi="Cambria Math"/>
            <w:color w:val="000000"/>
          </w:rPr>
          <m:t>EL</m:t>
        </m:r>
      </m:oMath>
      <w:r>
        <w:rPr>
          <w:rFonts w:eastAsia="Georgia" w:hAnsi="Georgia" w:cs="Georgia"/>
          <w:color w:val="000000"/>
        </w:rPr>
        <w:t xml:space="preserve"> reflect the forward‑looking risk of the exposure over the relevant horizon.</w:t>
      </w:r>
      <w:bookmarkStart w:id="46" w:name="fnref13"/>
      <w:bookmarkEnd w:id="46"/>
      <w:r>
        <w:fldChar w:fldCharType="begin"/>
      </w:r>
      <w:r>
        <w:instrText>HYPERLINK \l "fn13" \h</w:instrText>
      </w:r>
      <w:r>
        <w:fldChar w:fldCharType="separate"/>
      </w:r>
      <w:r>
        <w:rPr>
          <w:rFonts w:ascii="Helvetica Neue" w:eastAsia="Helvetica Neue" w:hAnsi="Helvetica Neue" w:cs="Helvetica Neue"/>
          <w:u w:val="single"/>
          <w:vertAlign w:val="superscript"/>
        </w:rPr>
        <w:t>[13]</w:t>
      </w:r>
      <w:r>
        <w:fldChar w:fldCharType="end"/>
      </w:r>
      <w:bookmarkStart w:id="47" w:name="fnref14"/>
      <w:bookmarkEnd w:id="47"/>
      <w:r>
        <w:fldChar w:fldCharType="begin"/>
      </w:r>
      <w:r>
        <w:instrText>HYPERLINK \l "fn14" \h</w:instrText>
      </w:r>
      <w:r>
        <w:fldChar w:fldCharType="separate"/>
      </w:r>
      <w:r>
        <w:rPr>
          <w:rFonts w:ascii="Helvetica Neue" w:eastAsia="Helvetica Neue" w:hAnsi="Helvetica Neue" w:cs="Helvetica Neue"/>
          <w:u w:val="single"/>
          <w:vertAlign w:val="superscript"/>
        </w:rPr>
        <w:t>[14]</w:t>
      </w:r>
      <w:r>
        <w:fldChar w:fldCharType="end"/>
      </w:r>
    </w:p>
    <w:p w14:paraId="2A4A5D2B" w14:textId="77777777" w:rsidR="008C5D65" w:rsidRDefault="00000000">
      <w:pPr>
        <w:spacing w:after="210" w:line="360" w:lineRule="auto"/>
      </w:pPr>
      <w:r>
        <w:rPr>
          <w:rFonts w:eastAsia="Georgia" w:hAnsi="Georgia" w:cs="Georgia"/>
          <w:color w:val="000000"/>
        </w:rPr>
        <w:t>TCEL, by construction, is a TTC measure and does not react directly to short‑term macro shocks. In benign conditions it may overstate immediate risk, while in downturns it may understate it relative to PIT estimates. Therefore, using TCEL alone in pricing leads to structurally smoother spreads but can create underpricing in recessions and overpricing in booms, especially for cyclical portfolios.</w:t>
      </w:r>
      <w:bookmarkStart w:id="48" w:name="fnref7_3"/>
      <w:bookmarkEnd w:id="48"/>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49" w:name="fnref9_2"/>
      <w:bookmarkEnd w:id="49"/>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01E514EA" w14:textId="77777777" w:rsidR="008C5D65" w:rsidRDefault="00000000">
      <w:pPr>
        <w:spacing w:before="315" w:after="105" w:line="360" w:lineRule="auto"/>
        <w:ind w:left="-30"/>
      </w:pPr>
      <w:bookmarkStart w:id="50" w:name="bm_3_2_tcel_as_baseline_plus_overlays"/>
      <w:r>
        <w:rPr>
          <w:rFonts w:eastAsia="Georgia" w:hAnsi="Georgia" w:cs="Georgia"/>
          <w:b/>
          <w:color w:val="000000"/>
          <w:sz w:val="24"/>
        </w:rPr>
        <w:t>3.2 TCEL as Baseline plus Overlays</w:t>
      </w:r>
      <w:bookmarkEnd w:id="50"/>
    </w:p>
    <w:p w14:paraId="4C6003C3" w14:textId="77777777" w:rsidR="008C5D65" w:rsidRDefault="00000000">
      <w:pPr>
        <w:spacing w:after="210" w:line="360" w:lineRule="auto"/>
      </w:pPr>
      <w:r>
        <w:rPr>
          <w:rFonts w:eastAsia="Georgia" w:hAnsi="Georgia" w:cs="Georgia"/>
          <w:color w:val="000000"/>
        </w:rPr>
        <w:t>A practical compromise is to treat TCEL as an actuarial baseline and apply forward‑looking overlays:</w:t>
      </w:r>
    </w:p>
    <w:p w14:paraId="1A7D36DF" w14:textId="77777777" w:rsidR="008C5D65" w:rsidRDefault="00000000">
      <w:pPr>
        <w:spacing w:after="210" w:line="360" w:lineRule="auto"/>
      </w:pPr>
      <m:oMathPara>
        <m:oMath>
          <m:r>
            <w:rPr>
              <w:rFonts w:ascii="Cambria Math" w:hAnsi="Cambria Math"/>
              <w:color w:val="000000"/>
            </w:rPr>
            <m:t>E</m:t>
          </m:r>
          <m:sSup>
            <m:sSupPr>
              <m:ctrlPr>
                <w:rPr>
                  <w:rFonts w:ascii="Cambria Math" w:hAnsi="Cambria Math"/>
                  <w:color w:val="000000"/>
                </w:rPr>
              </m:ctrlPr>
            </m:sSupPr>
            <m:e>
              <m:r>
                <w:rPr>
                  <w:rFonts w:ascii="Cambria Math" w:hAnsi="Cambria Math"/>
                  <w:color w:val="000000"/>
                </w:rPr>
                <m:t>L</m:t>
              </m:r>
            </m:e>
            <m:sup>
              <m:r>
                <w:rPr>
                  <w:rFonts w:ascii="Cambria Math" w:hAnsi="Cambria Math"/>
                  <w:color w:val="000000"/>
                </w:rPr>
                <m:t>pricing</m:t>
              </m:r>
            </m:sup>
          </m:sSup>
          <m:r>
            <m:rPr>
              <m:sty m:val="p"/>
            </m:rPr>
            <w:rPr>
              <w:rFonts w:ascii="Cambria Math" w:hAnsi="Cambria Math"/>
              <w:color w:val="000000"/>
            </w:rPr>
            <m:t>=</m:t>
          </m:r>
          <m:r>
            <w:rPr>
              <w:rFonts w:ascii="Cambria Math" w:hAnsi="Cambria Math"/>
              <w:color w:val="000000"/>
            </w:rPr>
            <m:t>TCEL</m:t>
          </m:r>
          <m:r>
            <m:rPr>
              <m:sty m:val="p"/>
            </m:rPr>
            <w:rPr>
              <w:rFonts w:ascii="Cambria Math" w:hAnsi="Cambria Math"/>
              <w:color w:val="000000"/>
            </w:rPr>
            <m:t>+Δ</m:t>
          </m:r>
          <m:r>
            <w:rPr>
              <w:rFonts w:ascii="Cambria Math" w:hAnsi="Cambria Math"/>
              <w:color w:val="000000"/>
            </w:rPr>
            <m:t>E</m:t>
          </m:r>
          <m:sSup>
            <m:sSupPr>
              <m:ctrlPr>
                <w:rPr>
                  <w:rFonts w:ascii="Cambria Math" w:hAnsi="Cambria Math"/>
                  <w:color w:val="000000"/>
                </w:rPr>
              </m:ctrlPr>
            </m:sSupPr>
            <m:e>
              <m:r>
                <w:rPr>
                  <w:rFonts w:ascii="Cambria Math" w:hAnsi="Cambria Math"/>
                  <w:color w:val="000000"/>
                </w:rPr>
                <m:t>L</m:t>
              </m:r>
            </m:e>
            <m:sup>
              <m:r>
                <w:rPr>
                  <w:rFonts w:ascii="Cambria Math" w:hAnsi="Cambria Math"/>
                  <w:color w:val="000000"/>
                </w:rPr>
                <m:t>macro</m:t>
              </m:r>
            </m:sup>
          </m:sSup>
          <m:r>
            <m:rPr>
              <m:sty m:val="p"/>
            </m:rPr>
            <w:rPr>
              <w:rFonts w:ascii="Cambria Math" w:hAnsi="Cambria Math"/>
              <w:color w:val="000000"/>
            </w:rPr>
            <m:t>+Δ</m:t>
          </m:r>
          <m:r>
            <w:rPr>
              <w:rFonts w:ascii="Cambria Math" w:hAnsi="Cambria Math"/>
              <w:color w:val="000000"/>
            </w:rPr>
            <m:t>E</m:t>
          </m:r>
          <m:sSup>
            <m:sSupPr>
              <m:ctrlPr>
                <w:rPr>
                  <w:rFonts w:ascii="Cambria Math" w:hAnsi="Cambria Math"/>
                  <w:color w:val="000000"/>
                </w:rPr>
              </m:ctrlPr>
            </m:sSupPr>
            <m:e>
              <m:r>
                <w:rPr>
                  <w:rFonts w:ascii="Cambria Math" w:hAnsi="Cambria Math"/>
                  <w:color w:val="000000"/>
                </w:rPr>
                <m:t>L</m:t>
              </m:r>
            </m:e>
            <m:sup>
              <m:r>
                <w:rPr>
                  <w:rFonts w:ascii="Cambria Math" w:hAnsi="Cambria Math"/>
                  <w:color w:val="000000"/>
                </w:rPr>
                <m:t>PIT</m:t>
              </m:r>
            </m:sup>
          </m:sSup>
          <m:r>
            <m:rPr>
              <m:sty m:val="p"/>
            </m:rPr>
            <w:rPr>
              <w:rFonts w:ascii="Cambria Math" w:hAnsi="Cambria Math"/>
              <w:color w:val="000000"/>
            </w:rPr>
            <m:t>,</m:t>
          </m:r>
        </m:oMath>
      </m:oMathPara>
    </w:p>
    <w:p w14:paraId="50AECA20" w14:textId="77777777" w:rsidR="008C5D65" w:rsidRDefault="00000000">
      <w:pPr>
        <w:spacing w:after="210" w:line="360" w:lineRule="auto"/>
      </w:pPr>
      <w:r>
        <w:rPr>
          <w:rFonts w:eastAsia="Georgia" w:hAnsi="Georgia" w:cs="Georgia"/>
          <w:color w:val="000000"/>
        </w:rPr>
        <w:t xml:space="preserve">where </w:t>
      </w:r>
      <m:oMath>
        <m:r>
          <m:rPr>
            <m:sty m:val="p"/>
          </m:rPr>
          <w:rPr>
            <w:rFonts w:ascii="Cambria Math" w:hAnsi="Cambria Math"/>
            <w:color w:val="000000"/>
          </w:rPr>
          <m:t>Δ</m:t>
        </m:r>
        <m:r>
          <w:rPr>
            <w:rFonts w:ascii="Cambria Math" w:hAnsi="Cambria Math"/>
            <w:color w:val="000000"/>
          </w:rPr>
          <m:t>E</m:t>
        </m:r>
        <m:sSup>
          <m:sSupPr>
            <m:ctrlPr>
              <w:rPr>
                <w:rFonts w:ascii="Cambria Math" w:hAnsi="Cambria Math"/>
                <w:color w:val="000000"/>
              </w:rPr>
            </m:ctrlPr>
          </m:sSupPr>
          <m:e>
            <m:r>
              <w:rPr>
                <w:rFonts w:ascii="Cambria Math" w:hAnsi="Cambria Math"/>
                <w:color w:val="000000"/>
              </w:rPr>
              <m:t>L</m:t>
            </m:r>
          </m:e>
          <m:sup>
            <m:r>
              <w:rPr>
                <w:rFonts w:ascii="Cambria Math" w:hAnsi="Cambria Math"/>
                <w:color w:val="000000"/>
              </w:rPr>
              <m:t>macro</m:t>
            </m:r>
          </m:sup>
        </m:sSup>
      </m:oMath>
      <w:r>
        <w:rPr>
          <w:rFonts w:eastAsia="Georgia" w:hAnsi="Georgia" w:cs="Georgia"/>
          <w:color w:val="000000"/>
        </w:rPr>
        <w:t xml:space="preserve"> captures macro scenario effects and </w:t>
      </w:r>
      <m:oMath>
        <m:r>
          <m:rPr>
            <m:sty m:val="p"/>
          </m:rPr>
          <w:rPr>
            <w:rFonts w:ascii="Cambria Math" w:hAnsi="Cambria Math"/>
            <w:color w:val="000000"/>
          </w:rPr>
          <m:t>Δ</m:t>
        </m:r>
        <m:r>
          <w:rPr>
            <w:rFonts w:ascii="Cambria Math" w:hAnsi="Cambria Math"/>
            <w:color w:val="000000"/>
          </w:rPr>
          <m:t>E</m:t>
        </m:r>
        <m:sSup>
          <m:sSupPr>
            <m:ctrlPr>
              <w:rPr>
                <w:rFonts w:ascii="Cambria Math" w:hAnsi="Cambria Math"/>
                <w:color w:val="000000"/>
              </w:rPr>
            </m:ctrlPr>
          </m:sSupPr>
          <m:e>
            <m:r>
              <w:rPr>
                <w:rFonts w:ascii="Cambria Math" w:hAnsi="Cambria Math"/>
                <w:color w:val="000000"/>
              </w:rPr>
              <m:t>L</m:t>
            </m:r>
          </m:e>
          <m:sup>
            <m:r>
              <w:rPr>
                <w:rFonts w:ascii="Cambria Math" w:hAnsi="Cambria Math"/>
                <w:color w:val="000000"/>
              </w:rPr>
              <m:t>PIT</m:t>
            </m:r>
          </m:sup>
        </m:sSup>
      </m:oMath>
      <w:r>
        <w:rPr>
          <w:rFonts w:eastAsia="Georgia" w:hAnsi="Georgia" w:cs="Georgia"/>
          <w:color w:val="000000"/>
        </w:rPr>
        <w:t xml:space="preserve"> captures deviations between TTC and PIT PDs. This hybrid approach maintains the stability of TCEL while introducing sufficient sensitivity to current conditions.</w:t>
      </w:r>
    </w:p>
    <w:p w14:paraId="5C8D018B" w14:textId="77777777" w:rsidR="008C5D65" w:rsidRDefault="00000000">
      <w:pPr>
        <w:spacing w:after="210" w:line="360" w:lineRule="auto"/>
      </w:pPr>
      <w:r>
        <w:rPr>
          <w:rFonts w:eastAsia="Georgia" w:hAnsi="Georgia" w:cs="Georgia"/>
          <w:color w:val="000000"/>
        </w:rPr>
        <w:t>From a theoretical standpoint, TCEL alone cannot be considered fully efficient for pricing, but it remains a valuable anchor to avoid over‑reacting to noise and temporary shocks. Optimal pricing practice uses TCEL plus transparent overlays, rather than either pure TTC or pure ECL.</w:t>
      </w:r>
    </w:p>
    <w:p w14:paraId="28811C1F" w14:textId="77777777" w:rsidR="008C5D65" w:rsidRDefault="00000000">
      <w:pPr>
        <w:spacing w:before="315" w:after="105" w:line="360" w:lineRule="auto"/>
        <w:ind w:left="-30"/>
      </w:pPr>
      <w:bookmarkStart w:id="51" w:name="bm_3_3_numerical_illustration"/>
      <w:r>
        <w:rPr>
          <w:rFonts w:eastAsia="Georgia" w:hAnsi="Georgia" w:cs="Georgia"/>
          <w:b/>
          <w:color w:val="000000"/>
          <w:sz w:val="24"/>
        </w:rPr>
        <w:t>3.3 Numerical Illustration</w:t>
      </w:r>
      <w:bookmarkEnd w:id="51"/>
    </w:p>
    <w:p w14:paraId="7C2096F1" w14:textId="77777777" w:rsidR="008C5D65" w:rsidRDefault="00000000">
      <w:pPr>
        <w:spacing w:after="210" w:line="360" w:lineRule="auto"/>
      </w:pPr>
      <w:r>
        <w:rPr>
          <w:rFonts w:eastAsia="Georgia" w:hAnsi="Georgia" w:cs="Georgia"/>
          <w:color w:val="000000"/>
        </w:rPr>
        <w:t>Consider an exposure with:</w:t>
      </w:r>
    </w:p>
    <w:p w14:paraId="094B98E9" w14:textId="77777777" w:rsidR="008C5D65" w:rsidRDefault="00000000">
      <w:pPr>
        <w:numPr>
          <w:ilvl w:val="0"/>
          <w:numId w:val="3"/>
        </w:numPr>
        <w:spacing w:before="105" w:after="105" w:line="360" w:lineRule="auto"/>
      </w:pPr>
      <m:oMath>
        <m:r>
          <w:rPr>
            <w:rFonts w:ascii="Cambria Math" w:hAnsi="Cambria Math"/>
            <w:color w:val="000000"/>
          </w:rPr>
          <m:t>P</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TTC</m:t>
            </m:r>
          </m:sup>
        </m:sSup>
        <m:r>
          <m:rPr>
            <m:sty m:val="p"/>
          </m:rPr>
          <w:rPr>
            <w:rFonts w:ascii="Cambria Math" w:hAnsi="Cambria Math"/>
            <w:color w:val="000000"/>
          </w:rPr>
          <m:t>=1%</m:t>
        </m:r>
      </m:oMath>
      <w:r>
        <w:rPr>
          <w:rFonts w:eastAsia="Georgia" w:hAnsi="Georgia" w:cs="Georgia"/>
          <w:color w:val="000000"/>
        </w:rPr>
        <w:t>,</w:t>
      </w:r>
    </w:p>
    <w:p w14:paraId="3435D1C7" w14:textId="77777777" w:rsidR="008C5D65" w:rsidRDefault="00000000">
      <w:pPr>
        <w:numPr>
          <w:ilvl w:val="0"/>
          <w:numId w:val="3"/>
        </w:numPr>
        <w:spacing w:before="105" w:after="105" w:line="360" w:lineRule="auto"/>
      </w:pPr>
      <m:oMath>
        <m:r>
          <w:rPr>
            <w:rFonts w:ascii="Cambria Math" w:hAnsi="Cambria Math"/>
            <w:color w:val="000000"/>
          </w:rPr>
          <m:t>P</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PIT</m:t>
            </m:r>
          </m:sup>
        </m:sSup>
        <m:r>
          <m:rPr>
            <m:sty m:val="p"/>
          </m:rPr>
          <w:rPr>
            <w:rFonts w:ascii="Cambria Math" w:hAnsi="Cambria Math"/>
            <w:color w:val="000000"/>
          </w:rPr>
          <m:t>=2%</m:t>
        </m:r>
      </m:oMath>
      <w:r>
        <w:rPr>
          <w:rFonts w:eastAsia="Georgia" w:hAnsi="Georgia" w:cs="Georgia"/>
          <w:color w:val="000000"/>
        </w:rPr>
        <w:t xml:space="preserve"> in a downturn,</w:t>
      </w:r>
    </w:p>
    <w:p w14:paraId="0FBD7C70" w14:textId="77777777" w:rsidR="008C5D65" w:rsidRDefault="00000000">
      <w:pPr>
        <w:numPr>
          <w:ilvl w:val="0"/>
          <w:numId w:val="3"/>
        </w:numPr>
        <w:spacing w:before="105" w:after="105" w:line="360" w:lineRule="auto"/>
      </w:pPr>
      <m:oMath>
        <m:r>
          <w:rPr>
            <w:rFonts w:ascii="Cambria Math" w:hAnsi="Cambria Math"/>
            <w:color w:val="000000"/>
          </w:rPr>
          <w:lastRenderedPageBreak/>
          <m:t>LG</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clean</m:t>
            </m:r>
          </m:sup>
        </m:sSup>
        <m:r>
          <m:rPr>
            <m:sty m:val="p"/>
          </m:rPr>
          <w:rPr>
            <w:rFonts w:ascii="Cambria Math" w:hAnsi="Cambria Math"/>
            <w:color w:val="000000"/>
          </w:rPr>
          <m:t>=40%</m:t>
        </m:r>
      </m:oMath>
      <w:r>
        <w:rPr>
          <w:rFonts w:eastAsia="Georgia" w:hAnsi="Georgia" w:cs="Georgia"/>
          <w:color w:val="000000"/>
        </w:rPr>
        <w:t>,</w:t>
      </w:r>
    </w:p>
    <w:p w14:paraId="735B908D" w14:textId="77777777" w:rsidR="008C5D65" w:rsidRDefault="00000000">
      <w:pPr>
        <w:numPr>
          <w:ilvl w:val="0"/>
          <w:numId w:val="3"/>
        </w:numPr>
        <w:spacing w:before="105" w:after="105" w:line="360" w:lineRule="auto"/>
      </w:pPr>
      <m:oMath>
        <m:r>
          <w:rPr>
            <w:rFonts w:ascii="Cambria Math" w:hAnsi="Cambria Math"/>
            <w:color w:val="000000"/>
          </w:rPr>
          <m:t>EAD</m:t>
        </m:r>
        <m:r>
          <m:rPr>
            <m:sty m:val="p"/>
          </m:rPr>
          <w:rPr>
            <w:rFonts w:ascii="Cambria Math" w:hAnsi="Cambria Math"/>
            <w:color w:val="000000"/>
          </w:rPr>
          <m:t>=100</m:t>
        </m:r>
      </m:oMath>
      <w:r>
        <w:rPr>
          <w:rFonts w:eastAsia="Georgia" w:hAnsi="Georgia" w:cs="Georgia"/>
          <w:color w:val="000000"/>
        </w:rPr>
        <w:t>.</w:t>
      </w:r>
    </w:p>
    <w:p w14:paraId="1AC57673" w14:textId="77777777" w:rsidR="008C5D65" w:rsidRDefault="00000000">
      <w:pPr>
        <w:spacing w:after="210" w:line="360" w:lineRule="auto"/>
      </w:pPr>
      <w:r>
        <w:rPr>
          <w:rFonts w:eastAsia="Georgia" w:hAnsi="Georgia" w:cs="Georgia"/>
          <w:color w:val="000000"/>
        </w:rPr>
        <w:t>TCEL implies:</w:t>
      </w:r>
    </w:p>
    <w:p w14:paraId="245DCBC2" w14:textId="77777777" w:rsidR="008C5D65" w:rsidRDefault="00000000">
      <w:pPr>
        <w:spacing w:after="210" w:line="360" w:lineRule="auto"/>
      </w:pPr>
      <m:oMathPara>
        <m:oMath>
          <m:r>
            <w:rPr>
              <w:rFonts w:ascii="Cambria Math" w:hAnsi="Cambria Math"/>
              <w:color w:val="000000"/>
            </w:rPr>
            <m:t>E</m:t>
          </m:r>
          <m:sSup>
            <m:sSupPr>
              <m:ctrlPr>
                <w:rPr>
                  <w:rFonts w:ascii="Cambria Math" w:hAnsi="Cambria Math"/>
                  <w:color w:val="000000"/>
                </w:rPr>
              </m:ctrlPr>
            </m:sSupPr>
            <m:e>
              <m:r>
                <w:rPr>
                  <w:rFonts w:ascii="Cambria Math" w:hAnsi="Cambria Math"/>
                  <w:color w:val="000000"/>
                </w:rPr>
                <m:t>L</m:t>
              </m:r>
            </m:e>
            <m:sup>
              <m:r>
                <w:rPr>
                  <w:rFonts w:ascii="Cambria Math" w:hAnsi="Cambria Math"/>
                  <w:color w:val="000000"/>
                </w:rPr>
                <m:t>TCEL</m:t>
              </m:r>
            </m:sup>
          </m:sSup>
          <m:r>
            <m:rPr>
              <m:sty m:val="p"/>
            </m:rPr>
            <w:rPr>
              <w:rFonts w:ascii="Cambria Math" w:hAnsi="Cambria Math"/>
              <w:color w:val="000000"/>
            </w:rPr>
            <m:t>=0.01×0.40×100=0.40,</m:t>
          </m:r>
        </m:oMath>
      </m:oMathPara>
    </w:p>
    <w:p w14:paraId="3D5E8ADF" w14:textId="77777777" w:rsidR="008C5D65" w:rsidRDefault="00000000">
      <w:pPr>
        <w:spacing w:after="210" w:line="360" w:lineRule="auto"/>
      </w:pPr>
      <w:r>
        <w:rPr>
          <w:rFonts w:eastAsia="Georgia" w:hAnsi="Georgia" w:cs="Georgia"/>
          <w:color w:val="000000"/>
        </w:rPr>
        <w:t>while a PIT‑based EL would be:</w:t>
      </w:r>
    </w:p>
    <w:p w14:paraId="6F026C18" w14:textId="77777777" w:rsidR="008C5D65" w:rsidRDefault="00000000">
      <w:pPr>
        <w:spacing w:after="210" w:line="360" w:lineRule="auto"/>
      </w:pPr>
      <m:oMathPara>
        <m:oMath>
          <m:r>
            <w:rPr>
              <w:rFonts w:ascii="Cambria Math" w:hAnsi="Cambria Math"/>
              <w:color w:val="000000"/>
            </w:rPr>
            <m:t>E</m:t>
          </m:r>
          <m:sSup>
            <m:sSupPr>
              <m:ctrlPr>
                <w:rPr>
                  <w:rFonts w:ascii="Cambria Math" w:hAnsi="Cambria Math"/>
                  <w:color w:val="000000"/>
                </w:rPr>
              </m:ctrlPr>
            </m:sSupPr>
            <m:e>
              <m:r>
                <w:rPr>
                  <w:rFonts w:ascii="Cambria Math" w:hAnsi="Cambria Math"/>
                  <w:color w:val="000000"/>
                </w:rPr>
                <m:t>L</m:t>
              </m:r>
            </m:e>
            <m:sup>
              <m:r>
                <w:rPr>
                  <w:rFonts w:ascii="Cambria Math" w:hAnsi="Cambria Math"/>
                  <w:color w:val="000000"/>
                </w:rPr>
                <m:t>PIT</m:t>
              </m:r>
            </m:sup>
          </m:sSup>
          <m:r>
            <m:rPr>
              <m:sty m:val="p"/>
            </m:rPr>
            <w:rPr>
              <w:rFonts w:ascii="Cambria Math" w:hAnsi="Cambria Math"/>
              <w:color w:val="000000"/>
            </w:rPr>
            <m:t>=0.02×0.40×100=0.80.</m:t>
          </m:r>
        </m:oMath>
      </m:oMathPara>
    </w:p>
    <w:p w14:paraId="4AF9C1D0" w14:textId="77777777" w:rsidR="008C5D65" w:rsidRDefault="00000000">
      <w:pPr>
        <w:spacing w:after="210" w:line="360" w:lineRule="auto"/>
      </w:pPr>
      <w:r>
        <w:rPr>
          <w:rFonts w:eastAsia="Georgia" w:hAnsi="Georgia" w:cs="Georgia"/>
          <w:color w:val="000000"/>
        </w:rPr>
        <w:t>The difference translates into roughly 40 bps in risk spread. In expansion, the sign may reverse. This simple example illustrates both the stabilising role of TCEL and its potential misalignment with short‑term risk.</w:t>
      </w:r>
    </w:p>
    <w:p w14:paraId="6A8D3462" w14:textId="77777777" w:rsidR="008C5D65" w:rsidRDefault="008328FE">
      <w:pPr>
        <w:spacing w:before="210" w:after="0" w:line="360" w:lineRule="auto"/>
      </w:pPr>
      <w:r>
        <w:rPr>
          <w:noProof/>
        </w:rPr>
      </w:r>
      <w:r>
        <w:rPr>
          <w:noProof/>
        </w:rPr>
        <w:pict w14:anchorId="5AD950C4">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61F7C0D" w14:textId="77777777" w:rsidR="008C5D65" w:rsidRDefault="00000000">
      <w:pPr>
        <w:spacing w:before="315" w:after="105" w:line="360" w:lineRule="auto"/>
        <w:ind w:left="-30"/>
      </w:pPr>
      <w:bookmarkStart w:id="52" w:name="bm_4_empirical_evidence_on_tcel_e_6e8f72"/>
      <w:r>
        <w:rPr>
          <w:rFonts w:eastAsia="Georgia" w:hAnsi="Georgia" w:cs="Georgia"/>
          <w:b/>
          <w:color w:val="000000"/>
          <w:sz w:val="24"/>
        </w:rPr>
        <w:t>4. Empirical Evidence on TCEL, ECL and Performance</w:t>
      </w:r>
      <w:bookmarkEnd w:id="52"/>
    </w:p>
    <w:p w14:paraId="40E6E081" w14:textId="77777777" w:rsidR="008C5D65" w:rsidRDefault="00000000">
      <w:pPr>
        <w:spacing w:after="210" w:line="360" w:lineRule="auto"/>
      </w:pPr>
      <w:r>
        <w:rPr>
          <w:rFonts w:eastAsia="Georgia" w:hAnsi="Georgia" w:cs="Georgia"/>
          <w:color w:val="000000"/>
        </w:rPr>
        <w:t>This section provides empirical evidence on the comparative behaviour of TCEL and IFRS 9 ECL and their implications for EVA, economic capital and RAROC, using portfolio‑level data from a large universal bank. While confidentiality constraints prevent disclosure of raw figures, we report stylised results that are consistent with the broader literature on the cyclicality of ECL and the use of economic capital in performance management.</w:t>
      </w:r>
      <w:bookmarkStart w:id="53" w:name="fnref8_2"/>
      <w:bookmarkEnd w:id="53"/>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54" w:name="fnref9_3"/>
      <w:bookmarkEnd w:id="54"/>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55" w:name="fnref1_2"/>
      <w:bookmarkEnd w:id="5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56" w:name="fnref7_4"/>
      <w:bookmarkEnd w:id="56"/>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57" w:name="fnref2_3"/>
      <w:bookmarkEnd w:id="57"/>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743F9046" w14:textId="77777777" w:rsidR="008C5D65" w:rsidRDefault="00000000">
      <w:pPr>
        <w:spacing w:before="315" w:after="105" w:line="360" w:lineRule="auto"/>
        <w:ind w:left="-30"/>
      </w:pPr>
      <w:bookmarkStart w:id="58" w:name="bm_4_1_data_and_key_ratios"/>
      <w:r>
        <w:rPr>
          <w:rFonts w:eastAsia="Georgia" w:hAnsi="Georgia" w:cs="Georgia"/>
          <w:b/>
          <w:color w:val="000000"/>
          <w:sz w:val="24"/>
        </w:rPr>
        <w:t>4.1 Data and Key Ratios</w:t>
      </w:r>
      <w:bookmarkEnd w:id="58"/>
    </w:p>
    <w:p w14:paraId="458EBE59" w14:textId="77777777" w:rsidR="008C5D65" w:rsidRDefault="00000000">
      <w:pPr>
        <w:spacing w:after="210" w:line="360" w:lineRule="auto"/>
      </w:pPr>
      <w:r>
        <w:rPr>
          <w:rFonts w:eastAsia="Georgia" w:hAnsi="Georgia" w:cs="Georgia"/>
          <w:color w:val="000000"/>
        </w:rPr>
        <w:t xml:space="preserve">We use quarterly data over several years for four major portfolios: corporate, SME, retail secured and retail unsecured. For each portfolio </w:t>
      </w:r>
      <m:oMath>
        <m:r>
          <w:rPr>
            <w:rFonts w:ascii="Cambria Math" w:hAnsi="Cambria Math"/>
            <w:color w:val="000000"/>
          </w:rPr>
          <m:t>i</m:t>
        </m:r>
      </m:oMath>
      <w:r>
        <w:rPr>
          <w:rFonts w:eastAsia="Georgia" w:hAnsi="Georgia" w:cs="Georgia"/>
          <w:color w:val="000000"/>
        </w:rPr>
        <w:t xml:space="preserve"> and quarter </w:t>
      </w:r>
      <m:oMath>
        <m:r>
          <w:rPr>
            <w:rFonts w:ascii="Cambria Math" w:hAnsi="Cambria Math"/>
            <w:color w:val="000000"/>
          </w:rPr>
          <m:t>t</m:t>
        </m:r>
      </m:oMath>
      <w:r>
        <w:rPr>
          <w:rFonts w:eastAsia="Georgia" w:hAnsi="Georgia" w:cs="Georgia"/>
          <w:color w:val="000000"/>
        </w:rPr>
        <w:t>, we observe:</w:t>
      </w:r>
    </w:p>
    <w:p w14:paraId="10292BFC" w14:textId="77777777" w:rsidR="008C5D65" w:rsidRDefault="00000000">
      <w:pPr>
        <w:numPr>
          <w:ilvl w:val="0"/>
          <w:numId w:val="4"/>
        </w:numPr>
        <w:spacing w:before="105" w:after="105" w:line="360" w:lineRule="auto"/>
      </w:pPr>
      <w:r>
        <w:rPr>
          <w:rFonts w:eastAsia="Georgia" w:hAnsi="Georgia" w:cs="Georgia"/>
          <w:color w:val="000000"/>
        </w:rPr>
        <w:t>TCEL</w:t>
      </w:r>
      <m:oMath>
        <m:sSub>
          <m:sSubPr>
            <m:ctrlPr>
              <w:rPr>
                <w:rFonts w:ascii="Cambria Math" w:hAnsi="Cambria Math"/>
                <w:color w:val="000000"/>
              </w:rPr>
            </m:ctrlPr>
          </m:sSubPr>
          <m:e/>
          <m:sub/>
        </m:sSub>
      </m:oMath>
      <w:r>
        <w:rPr>
          <w:rFonts w:eastAsia="Georgia" w:hAnsi="Georgia" w:cs="Georgia"/>
          <w:color w:val="000000"/>
        </w:rPr>
        <w:t xml:space="preserve"> and EAD</w:t>
      </w:r>
      <m:oMath>
        <m:sSub>
          <m:sSubPr>
            <m:ctrlPr>
              <w:rPr>
                <w:rFonts w:ascii="Cambria Math" w:hAnsi="Cambria Math"/>
                <w:color w:val="000000"/>
              </w:rPr>
            </m:ctrlPr>
          </m:sSubPr>
          <m:e/>
          <m:sub/>
        </m:sSub>
      </m:oMath>
      <w:r>
        <w:rPr>
          <w:rFonts w:eastAsia="Georgia" w:hAnsi="Georgia" w:cs="Georgia"/>
          <w:color w:val="000000"/>
        </w:rPr>
        <w:t>;</w:t>
      </w:r>
    </w:p>
    <w:p w14:paraId="1689193F" w14:textId="77777777" w:rsidR="008C5D65" w:rsidRDefault="00000000">
      <w:pPr>
        <w:numPr>
          <w:ilvl w:val="0"/>
          <w:numId w:val="4"/>
        </w:numPr>
        <w:spacing w:before="105" w:after="105" w:line="360" w:lineRule="auto"/>
      </w:pPr>
      <w:r>
        <w:rPr>
          <w:rFonts w:eastAsia="Georgia" w:hAnsi="Georgia" w:cs="Georgia"/>
          <w:color w:val="000000"/>
        </w:rPr>
        <w:t>IFRS 9 ECL</w:t>
      </w:r>
      <m:oMath>
        <m:sSub>
          <m:sSubPr>
            <m:ctrlPr>
              <w:rPr>
                <w:rFonts w:ascii="Cambria Math" w:hAnsi="Cambria Math"/>
                <w:color w:val="000000"/>
              </w:rPr>
            </m:ctrlPr>
          </m:sSubPr>
          <m:e/>
          <m:sub/>
        </m:sSub>
      </m:oMath>
      <w:r>
        <w:rPr>
          <w:rFonts w:eastAsia="Georgia" w:hAnsi="Georgia" w:cs="Georgia"/>
          <w:color w:val="000000"/>
        </w:rPr>
        <w:t xml:space="preserve"> (total allowance and period ECL charge) and EAD</w:t>
      </w:r>
      <m:oMath>
        <m:sSub>
          <m:sSubPr>
            <m:ctrlPr>
              <w:rPr>
                <w:rFonts w:ascii="Cambria Math" w:hAnsi="Cambria Math"/>
                <w:color w:val="000000"/>
              </w:rPr>
            </m:ctrlPr>
          </m:sSubPr>
          <m:e/>
          <m:sub/>
        </m:sSub>
      </m:oMath>
      <w:r>
        <w:rPr>
          <w:rFonts w:eastAsia="Georgia" w:hAnsi="Georgia" w:cs="Georgia"/>
          <w:color w:val="000000"/>
        </w:rPr>
        <w:t>;</w:t>
      </w:r>
    </w:p>
    <w:p w14:paraId="249A504B" w14:textId="77777777" w:rsidR="008C5D65" w:rsidRDefault="00000000">
      <w:pPr>
        <w:numPr>
          <w:ilvl w:val="0"/>
          <w:numId w:val="4"/>
        </w:numPr>
        <w:spacing w:before="105" w:after="105" w:line="360" w:lineRule="auto"/>
      </w:pPr>
      <w:r>
        <w:rPr>
          <w:rFonts w:eastAsia="Georgia" w:hAnsi="Georgia" w:cs="Georgia"/>
          <w:color w:val="000000"/>
        </w:rPr>
        <w:t xml:space="preserve">economic capital </w:t>
      </w:r>
      <m:oMath>
        <m:r>
          <w:rPr>
            <w:rFonts w:ascii="Cambria Math" w:hAnsi="Cambria Math"/>
            <w:color w:val="000000"/>
          </w:rPr>
          <m:t>E</m:t>
        </m:r>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oMath>
      <w:r>
        <w:rPr>
          <w:rFonts w:eastAsia="Georgia" w:hAnsi="Georgia" w:cs="Georgia"/>
          <w:color w:val="000000"/>
        </w:rPr>
        <w:t xml:space="preserve"> from internal models;</w:t>
      </w:r>
    </w:p>
    <w:p w14:paraId="4F070EE2" w14:textId="77777777" w:rsidR="008C5D65" w:rsidRDefault="00000000">
      <w:pPr>
        <w:numPr>
          <w:ilvl w:val="0"/>
          <w:numId w:val="4"/>
        </w:numPr>
        <w:spacing w:before="105" w:after="105" w:line="360" w:lineRule="auto"/>
      </w:pPr>
      <w:r>
        <w:rPr>
          <w:rFonts w:eastAsia="Georgia" w:hAnsi="Georgia" w:cs="Georgia"/>
          <w:color w:val="000000"/>
        </w:rPr>
        <w:t>revenues and operating costs;</w:t>
      </w:r>
    </w:p>
    <w:p w14:paraId="5CD2D26F" w14:textId="77777777" w:rsidR="008C5D65" w:rsidRDefault="00000000">
      <w:pPr>
        <w:numPr>
          <w:ilvl w:val="0"/>
          <w:numId w:val="4"/>
        </w:numPr>
        <w:spacing w:before="105" w:after="105" w:line="360" w:lineRule="auto"/>
      </w:pPr>
      <w:r>
        <w:rPr>
          <w:rFonts w:eastAsia="Georgia" w:hAnsi="Georgia" w:cs="Georgia"/>
          <w:color w:val="000000"/>
        </w:rPr>
        <w:t>macro variables (GDP growth, unemployment).</w:t>
      </w:r>
      <w:bookmarkStart w:id="59" w:name="fnref6_4"/>
      <w:bookmarkEnd w:id="59"/>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60" w:name="fnref7_5"/>
      <w:bookmarkEnd w:id="60"/>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61" w:name="fnref8_3"/>
      <w:bookmarkEnd w:id="61"/>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p>
    <w:p w14:paraId="1EDFE077" w14:textId="77777777" w:rsidR="008C5D65" w:rsidRDefault="00000000">
      <w:pPr>
        <w:spacing w:after="210" w:line="360" w:lineRule="auto"/>
      </w:pPr>
      <w:r>
        <w:rPr>
          <w:rFonts w:eastAsia="Georgia" w:hAnsi="Georgia" w:cs="Georgia"/>
          <w:color w:val="000000"/>
        </w:rPr>
        <w:t>We construct:</w:t>
      </w:r>
    </w:p>
    <w:p w14:paraId="0DB2FD8A" w14:textId="77777777" w:rsidR="008C5D65" w:rsidRDefault="00000000">
      <w:pPr>
        <w:spacing w:after="210" w:line="360" w:lineRule="auto"/>
      </w:pPr>
      <m:oMathPara>
        <m:oMath>
          <m:r>
            <w:rPr>
              <w:rFonts w:ascii="Cambria Math" w:hAnsi="Cambria Math"/>
              <w:color w:val="000000"/>
            </w:rPr>
            <m:t>E</m:t>
          </m:r>
          <m:sSubSup>
            <m:sSubSupPr>
              <m:ctrlPr>
                <w:rPr>
                  <w:rFonts w:ascii="Cambria Math" w:hAnsi="Cambria Math"/>
                  <w:color w:val="000000"/>
                </w:rPr>
              </m:ctrlPr>
            </m:sSubSup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up>
              <m:r>
                <w:rPr>
                  <w:rFonts w:ascii="Cambria Math" w:hAnsi="Cambria Math"/>
                  <w:color w:val="000000"/>
                </w:rPr>
                <m:t>TCEL</m:t>
              </m:r>
            </m:sup>
          </m:sSubSup>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TCE</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num>
            <m:den>
              <m:r>
                <w:rPr>
                  <w:rFonts w:ascii="Cambria Math" w:hAnsi="Cambria Math"/>
                  <w:color w:val="000000"/>
                </w:rPr>
                <m:t>EA</m:t>
              </m:r>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den>
          </m:f>
          <m:r>
            <m:rPr>
              <m:sty m:val="p"/>
            </m:rPr>
            <w:rPr>
              <w:rFonts w:ascii="Cambria Math" w:hAnsi="Cambria Math"/>
              <w:color w:val="000000"/>
            </w:rPr>
            <m:t xml:space="preserve">, </m:t>
          </m:r>
          <m:r>
            <w:rPr>
              <w:rFonts w:ascii="Cambria Math" w:hAnsi="Cambria Math"/>
              <w:color w:val="000000"/>
            </w:rPr>
            <m:t>E</m:t>
          </m:r>
          <m:sSubSup>
            <m:sSubSupPr>
              <m:ctrlPr>
                <w:rPr>
                  <w:rFonts w:ascii="Cambria Math" w:hAnsi="Cambria Math"/>
                  <w:color w:val="000000"/>
                </w:rPr>
              </m:ctrlPr>
            </m:sSubSup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up>
              <m:r>
                <w:rPr>
                  <w:rFonts w:ascii="Cambria Math" w:hAnsi="Cambria Math"/>
                  <w:color w:val="000000"/>
                </w:rPr>
                <m:t>ECL</m:t>
              </m:r>
            </m:sup>
          </m:sSubSup>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EC</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num>
            <m:den>
              <m:r>
                <w:rPr>
                  <w:rFonts w:ascii="Cambria Math" w:hAnsi="Cambria Math"/>
                  <w:color w:val="000000"/>
                </w:rPr>
                <m:t>EA</m:t>
              </m:r>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den>
          </m:f>
          <m:r>
            <m:rPr>
              <m:sty m:val="p"/>
            </m:rPr>
            <w:rPr>
              <w:rFonts w:ascii="Cambria Math" w:hAnsi="Cambria Math"/>
              <w:color w:val="000000"/>
            </w:rPr>
            <m:t>,</m:t>
          </m:r>
        </m:oMath>
      </m:oMathPara>
    </w:p>
    <w:p w14:paraId="26B5557A" w14:textId="77777777" w:rsidR="008C5D65" w:rsidRDefault="00000000">
      <w:pPr>
        <w:spacing w:after="210" w:line="360" w:lineRule="auto"/>
      </w:pPr>
      <w:r>
        <w:rPr>
          <w:rFonts w:eastAsia="Georgia" w:hAnsi="Georgia" w:cs="Georgia"/>
          <w:color w:val="000000"/>
        </w:rPr>
        <w:lastRenderedPageBreak/>
        <w:t>and EVA and RAROC variants:</w:t>
      </w:r>
    </w:p>
    <w:p w14:paraId="159CE198" w14:textId="77777777" w:rsidR="008C5D65" w:rsidRDefault="00000000">
      <w:pPr>
        <w:spacing w:after="210" w:line="360" w:lineRule="auto"/>
      </w:pPr>
      <m:oMathPara>
        <m:oMath>
          <m:r>
            <w:rPr>
              <w:rFonts w:ascii="Cambria Math" w:hAnsi="Cambria Math"/>
              <w:color w:val="000000"/>
            </w:rPr>
            <m:t>EV</m:t>
          </m:r>
          <m:sSubSup>
            <m:sSubSupPr>
              <m:ctrlPr>
                <w:rPr>
                  <w:rFonts w:ascii="Cambria Math" w:hAnsi="Cambria Math"/>
                  <w:color w:val="000000"/>
                </w:rPr>
              </m:ctrlPr>
            </m:sSubSupPr>
            <m:e>
              <m:r>
                <w:rPr>
                  <w:rFonts w:ascii="Cambria Math" w:hAnsi="Cambria Math"/>
                  <w:color w:val="000000"/>
                </w:rPr>
                <m:t>A</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up>
              <m:r>
                <w:rPr>
                  <w:rFonts w:ascii="Cambria Math" w:hAnsi="Cambria Math"/>
                  <w:color w:val="000000"/>
                </w:rPr>
                <m:t>TCEL</m:t>
              </m:r>
            </m:sup>
          </m:sSubSup>
          <m:r>
            <m:rPr>
              <m:sty m:val="p"/>
            </m:rPr>
            <w:rPr>
              <w:rFonts w:ascii="Cambria Math" w:hAnsi="Cambria Math"/>
              <w:color w:val="000000"/>
            </w:rPr>
            <m:t>=</m:t>
          </m:r>
          <m:r>
            <w:rPr>
              <w:rFonts w:ascii="Cambria Math" w:hAnsi="Cambria Math"/>
              <w:color w:val="000000"/>
            </w:rPr>
            <m:t>Revenue</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r>
            <w:rPr>
              <w:rFonts w:ascii="Cambria Math" w:hAnsi="Cambria Math"/>
              <w:color w:val="000000"/>
            </w:rPr>
            <m:t>Ope</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r>
            <w:rPr>
              <w:rFonts w:ascii="Cambria Math" w:hAnsi="Cambria Math"/>
              <w:color w:val="000000"/>
            </w:rPr>
            <m:t>TCE</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r>
            <w:rPr>
              <w:rFonts w:ascii="Cambria Math" w:hAnsi="Cambria Math"/>
              <w:color w:val="000000"/>
            </w:rPr>
            <m:t>k</m:t>
          </m:r>
          <m:r>
            <m:rPr>
              <m:sty m:val="p"/>
            </m:rPr>
            <w:rPr>
              <w:rFonts w:ascii="Cambria Math" w:hAnsi="Cambria Math"/>
              <w:color w:val="000000"/>
            </w:rPr>
            <m:t>⋅</m:t>
          </m:r>
          <m:r>
            <w:rPr>
              <w:rFonts w:ascii="Cambria Math" w:hAnsi="Cambria Math"/>
              <w:color w:val="000000"/>
            </w:rPr>
            <m:t>E</m:t>
          </m:r>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oMath>
      </m:oMathPara>
    </w:p>
    <w:p w14:paraId="3E874781" w14:textId="77777777" w:rsidR="008C5D65" w:rsidRDefault="00000000">
      <w:pPr>
        <w:spacing w:after="210" w:line="360" w:lineRule="auto"/>
      </w:pPr>
      <m:oMathPara>
        <m:oMath>
          <m:r>
            <w:rPr>
              <w:rFonts w:ascii="Cambria Math" w:hAnsi="Cambria Math"/>
              <w:color w:val="000000"/>
            </w:rPr>
            <m:t>EV</m:t>
          </m:r>
          <m:sSubSup>
            <m:sSubSupPr>
              <m:ctrlPr>
                <w:rPr>
                  <w:rFonts w:ascii="Cambria Math" w:hAnsi="Cambria Math"/>
                  <w:color w:val="000000"/>
                </w:rPr>
              </m:ctrlPr>
            </m:sSubSupPr>
            <m:e>
              <m:r>
                <w:rPr>
                  <w:rFonts w:ascii="Cambria Math" w:hAnsi="Cambria Math"/>
                  <w:color w:val="000000"/>
                </w:rPr>
                <m:t>A</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up>
              <m:r>
                <w:rPr>
                  <w:rFonts w:ascii="Cambria Math" w:hAnsi="Cambria Math"/>
                  <w:color w:val="000000"/>
                </w:rPr>
                <m:t>ECL</m:t>
              </m:r>
            </m:sup>
          </m:sSubSup>
          <m:r>
            <m:rPr>
              <m:sty m:val="p"/>
            </m:rPr>
            <w:rPr>
              <w:rFonts w:ascii="Cambria Math" w:hAnsi="Cambria Math"/>
              <w:color w:val="000000"/>
            </w:rPr>
            <m:t>=</m:t>
          </m:r>
          <m:r>
            <w:rPr>
              <w:rFonts w:ascii="Cambria Math" w:hAnsi="Cambria Math"/>
              <w:color w:val="000000"/>
            </w:rPr>
            <m:t>Revenue</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r>
            <w:rPr>
              <w:rFonts w:ascii="Cambria Math" w:hAnsi="Cambria Math"/>
              <w:color w:val="000000"/>
            </w:rPr>
            <m:t>Ope</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r>
            <w:rPr>
              <w:rFonts w:ascii="Cambria Math" w:hAnsi="Cambria Math"/>
              <w:color w:val="000000"/>
            </w:rPr>
            <m:t>EC</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r>
            <w:rPr>
              <w:rFonts w:ascii="Cambria Math" w:hAnsi="Cambria Math"/>
              <w:color w:val="000000"/>
            </w:rPr>
            <m:t>k</m:t>
          </m:r>
          <m:r>
            <m:rPr>
              <m:sty m:val="p"/>
            </m:rPr>
            <w:rPr>
              <w:rFonts w:ascii="Cambria Math" w:hAnsi="Cambria Math"/>
              <w:color w:val="000000"/>
            </w:rPr>
            <m:t>⋅</m:t>
          </m:r>
          <m:r>
            <w:rPr>
              <w:rFonts w:ascii="Cambria Math" w:hAnsi="Cambria Math"/>
              <w:color w:val="000000"/>
            </w:rPr>
            <m:t>E</m:t>
          </m:r>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oMath>
      </m:oMathPara>
    </w:p>
    <w:p w14:paraId="66CEFE0C" w14:textId="77777777" w:rsidR="008C5D65" w:rsidRDefault="00000000">
      <w:pPr>
        <w:spacing w:after="210" w:line="360" w:lineRule="auto"/>
      </w:pPr>
      <m:oMathPara>
        <m:oMath>
          <m:r>
            <w:rPr>
              <w:rFonts w:ascii="Cambria Math" w:hAnsi="Cambria Math"/>
              <w:color w:val="000000"/>
            </w:rPr>
            <m:t>RARO</m:t>
          </m:r>
          <m:sSubSup>
            <m:sSubSupPr>
              <m:ctrlPr>
                <w:rPr>
                  <w:rFonts w:ascii="Cambria Math" w:hAnsi="Cambria Math"/>
                  <w:color w:val="000000"/>
                </w:rPr>
              </m:ctrlPr>
            </m:sSubSupPr>
            <m:e>
              <m:r>
                <w:rPr>
                  <w:rFonts w:ascii="Cambria Math" w:hAnsi="Cambria Math"/>
                  <w:color w:val="000000"/>
                </w:rPr>
                <m:t>C</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up>
              <m:r>
                <w:rPr>
                  <w:rFonts w:ascii="Cambria Math" w:hAnsi="Cambria Math"/>
                  <w:color w:val="000000"/>
                </w:rPr>
                <m:t>TCEL</m:t>
              </m:r>
            </m:sup>
          </m:sSubSup>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Revenue</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r>
                <w:rPr>
                  <w:rFonts w:ascii="Cambria Math" w:hAnsi="Cambria Math"/>
                  <w:color w:val="000000"/>
                </w:rPr>
                <m:t>Ope</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r>
                <w:rPr>
                  <w:rFonts w:ascii="Cambria Math" w:hAnsi="Cambria Math"/>
                  <w:color w:val="000000"/>
                </w:rPr>
                <m:t>TCE</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num>
            <m:den>
              <m:r>
                <w:rPr>
                  <w:rFonts w:ascii="Cambria Math" w:hAnsi="Cambria Math"/>
                  <w:color w:val="000000"/>
                </w:rPr>
                <m:t>E</m:t>
              </m:r>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den>
          </m:f>
          <m:r>
            <m:rPr>
              <m:sty m:val="p"/>
            </m:rPr>
            <w:rPr>
              <w:rFonts w:ascii="Cambria Math" w:hAnsi="Cambria Math"/>
              <w:color w:val="000000"/>
            </w:rPr>
            <m:t xml:space="preserve">, </m:t>
          </m:r>
          <m:r>
            <w:rPr>
              <w:rFonts w:ascii="Cambria Math" w:hAnsi="Cambria Math"/>
              <w:color w:val="000000"/>
            </w:rPr>
            <m:t>RARO</m:t>
          </m:r>
          <m:sSubSup>
            <m:sSubSupPr>
              <m:ctrlPr>
                <w:rPr>
                  <w:rFonts w:ascii="Cambria Math" w:hAnsi="Cambria Math"/>
                  <w:color w:val="000000"/>
                </w:rPr>
              </m:ctrlPr>
            </m:sSubSupPr>
            <m:e>
              <m:r>
                <w:rPr>
                  <w:rFonts w:ascii="Cambria Math" w:hAnsi="Cambria Math"/>
                  <w:color w:val="000000"/>
                </w:rPr>
                <m:t>C</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up>
              <m:r>
                <w:rPr>
                  <w:rFonts w:ascii="Cambria Math" w:hAnsi="Cambria Math"/>
                  <w:color w:val="000000"/>
                </w:rPr>
                <m:t>ECL</m:t>
              </m:r>
            </m:sup>
          </m:sSubSup>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Revenue</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r>
                <w:rPr>
                  <w:rFonts w:ascii="Cambria Math" w:hAnsi="Cambria Math"/>
                  <w:color w:val="000000"/>
                </w:rPr>
                <m:t>Ope</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r>
                <w:rPr>
                  <w:rFonts w:ascii="Cambria Math" w:hAnsi="Cambria Math"/>
                  <w:color w:val="000000"/>
                </w:rPr>
                <m:t>EC</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num>
            <m:den>
              <m:r>
                <w:rPr>
                  <w:rFonts w:ascii="Cambria Math" w:hAnsi="Cambria Math"/>
                  <w:color w:val="000000"/>
                </w:rPr>
                <m:t>E</m:t>
              </m:r>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den>
          </m:f>
          <m:r>
            <m:rPr>
              <m:sty m:val="p"/>
            </m:rPr>
            <w:rPr>
              <w:rFonts w:ascii="Cambria Math" w:hAnsi="Cambria Math"/>
              <w:color w:val="000000"/>
            </w:rPr>
            <m:t>.</m:t>
          </m:r>
        </m:oMath>
      </m:oMathPara>
    </w:p>
    <w:p w14:paraId="2DF4F890" w14:textId="77777777" w:rsidR="008C5D65" w:rsidRDefault="00000000">
      <w:pPr>
        <w:spacing w:before="315" w:after="105" w:line="360" w:lineRule="auto"/>
        <w:ind w:left="-30"/>
      </w:pPr>
      <w:bookmarkStart w:id="62" w:name="bm_4_2_volatility_and_cyclicality_c7769b"/>
      <w:r>
        <w:rPr>
          <w:rFonts w:eastAsia="Georgia" w:hAnsi="Georgia" w:cs="Georgia"/>
          <w:b/>
          <w:color w:val="000000"/>
          <w:sz w:val="24"/>
        </w:rPr>
        <w:t>4.2 Volatility and Cyclicality of EL Metrics</w:t>
      </w:r>
      <w:bookmarkEnd w:id="62"/>
    </w:p>
    <w:p w14:paraId="29F07CDD" w14:textId="77777777" w:rsidR="008C5D65" w:rsidRDefault="00000000">
      <w:pPr>
        <w:spacing w:after="210" w:line="360" w:lineRule="auto"/>
      </w:pPr>
      <w:r>
        <w:rPr>
          <w:rFonts w:eastAsia="Georgia" w:hAnsi="Georgia" w:cs="Georgia"/>
          <w:color w:val="000000"/>
        </w:rPr>
        <w:t>At aggregate level we compute:</w:t>
      </w:r>
    </w:p>
    <w:p w14:paraId="09F2E7E1" w14:textId="77777777" w:rsidR="008C5D65"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TCEL</m:t>
              </m:r>
            </m:sub>
          </m:sSub>
          <m:r>
            <m:rPr>
              <m:sty m:val="p"/>
            </m:rPr>
            <w:rPr>
              <w:rFonts w:ascii="Cambria Math" w:hAnsi="Cambria Math"/>
              <w:color w:val="000000"/>
            </w:rPr>
            <m:t>=</m:t>
          </m:r>
          <m:rad>
            <m:radPr>
              <m:degHide m:val="1"/>
              <m:ctrlPr>
                <w:rPr>
                  <w:rFonts w:ascii="Cambria Math" w:hAnsi="Cambria Math"/>
                  <w:color w:val="000000"/>
                </w:rPr>
              </m:ctrlPr>
            </m:radPr>
            <m:deg/>
            <m:e>
              <m:r>
                <w:rPr>
                  <w:rFonts w:ascii="Cambria Math" w:hAnsi="Cambria Math"/>
                  <w:color w:val="000000"/>
                </w:rPr>
                <m:t>Var</m:t>
              </m:r>
              <m:r>
                <m:rPr>
                  <m:sty m:val="p"/>
                </m:rPr>
                <w:rPr>
                  <w:rFonts w:ascii="Cambria Math" w:hAnsi="Cambria Math"/>
                  <w:color w:val="000000"/>
                </w:rPr>
                <m:t>(</m:t>
              </m:r>
              <m:r>
                <w:rPr>
                  <w:rFonts w:ascii="Cambria Math" w:hAnsi="Cambria Math"/>
                  <w:color w:val="000000"/>
                </w:rPr>
                <m:t>E</m:t>
              </m:r>
              <m:sSubSup>
                <m:sSubSupPr>
                  <m:ctrlPr>
                    <w:rPr>
                      <w:rFonts w:ascii="Cambria Math" w:hAnsi="Cambria Math"/>
                      <w:color w:val="000000"/>
                    </w:rPr>
                  </m:ctrlPr>
                </m:sSubSupPr>
                <m:e>
                  <m:r>
                    <w:rPr>
                      <w:rFonts w:ascii="Cambria Math" w:hAnsi="Cambria Math"/>
                      <w:color w:val="000000"/>
                    </w:rPr>
                    <m:t>L</m:t>
                  </m:r>
                </m:e>
                <m:sub>
                  <m:r>
                    <w:rPr>
                      <w:rFonts w:ascii="Cambria Math" w:hAnsi="Cambria Math"/>
                      <w:color w:val="000000"/>
                    </w:rPr>
                    <m:t>t</m:t>
                  </m:r>
                </m:sub>
                <m:sup>
                  <m:r>
                    <w:rPr>
                      <w:rFonts w:ascii="Cambria Math" w:hAnsi="Cambria Math"/>
                      <w:color w:val="000000"/>
                    </w:rPr>
                    <m:t>TCEL</m:t>
                  </m:r>
                </m:sup>
              </m:sSubSup>
              <m:r>
                <m:rPr>
                  <m:sty m:val="p"/>
                </m:rPr>
                <w:rPr>
                  <w:rFonts w:ascii="Cambria Math" w:hAnsi="Cambria Math"/>
                  <w:color w:val="000000"/>
                </w:rPr>
                <m:t>)</m:t>
              </m:r>
            </m:e>
          </m:rad>
          <m:r>
            <m:rPr>
              <m:sty m:val="p"/>
            </m:rPr>
            <w:rPr>
              <w:rFonts w:ascii="Cambria Math" w:hAnsi="Cambria Math"/>
              <w:color w:val="000000"/>
            </w:rPr>
            <m:t xml:space="preserve">, </m:t>
          </m:r>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ECL</m:t>
              </m:r>
            </m:sub>
          </m:sSub>
          <m:r>
            <m:rPr>
              <m:sty m:val="p"/>
            </m:rPr>
            <w:rPr>
              <w:rFonts w:ascii="Cambria Math" w:hAnsi="Cambria Math"/>
              <w:color w:val="000000"/>
            </w:rPr>
            <m:t>=</m:t>
          </m:r>
          <m:rad>
            <m:radPr>
              <m:degHide m:val="1"/>
              <m:ctrlPr>
                <w:rPr>
                  <w:rFonts w:ascii="Cambria Math" w:hAnsi="Cambria Math"/>
                  <w:color w:val="000000"/>
                </w:rPr>
              </m:ctrlPr>
            </m:radPr>
            <m:deg/>
            <m:e>
              <m:r>
                <w:rPr>
                  <w:rFonts w:ascii="Cambria Math" w:hAnsi="Cambria Math"/>
                  <w:color w:val="000000"/>
                </w:rPr>
                <m:t>Var</m:t>
              </m:r>
              <m:r>
                <m:rPr>
                  <m:sty m:val="p"/>
                </m:rPr>
                <w:rPr>
                  <w:rFonts w:ascii="Cambria Math" w:hAnsi="Cambria Math"/>
                  <w:color w:val="000000"/>
                </w:rPr>
                <m:t>(</m:t>
              </m:r>
              <m:r>
                <w:rPr>
                  <w:rFonts w:ascii="Cambria Math" w:hAnsi="Cambria Math"/>
                  <w:color w:val="000000"/>
                </w:rPr>
                <m:t>E</m:t>
              </m:r>
              <m:sSubSup>
                <m:sSubSupPr>
                  <m:ctrlPr>
                    <w:rPr>
                      <w:rFonts w:ascii="Cambria Math" w:hAnsi="Cambria Math"/>
                      <w:color w:val="000000"/>
                    </w:rPr>
                  </m:ctrlPr>
                </m:sSubSupPr>
                <m:e>
                  <m:r>
                    <w:rPr>
                      <w:rFonts w:ascii="Cambria Math" w:hAnsi="Cambria Math"/>
                      <w:color w:val="000000"/>
                    </w:rPr>
                    <m:t>L</m:t>
                  </m:r>
                </m:e>
                <m:sub>
                  <m:r>
                    <w:rPr>
                      <w:rFonts w:ascii="Cambria Math" w:hAnsi="Cambria Math"/>
                      <w:color w:val="000000"/>
                    </w:rPr>
                    <m:t>t</m:t>
                  </m:r>
                </m:sub>
                <m:sup>
                  <m:r>
                    <w:rPr>
                      <w:rFonts w:ascii="Cambria Math" w:hAnsi="Cambria Math"/>
                      <w:color w:val="000000"/>
                    </w:rPr>
                    <m:t>ECL</m:t>
                  </m:r>
                </m:sup>
              </m:sSubSup>
              <m:r>
                <m:rPr>
                  <m:sty m:val="p"/>
                </m:rPr>
                <w:rPr>
                  <w:rFonts w:ascii="Cambria Math" w:hAnsi="Cambria Math"/>
                  <w:color w:val="000000"/>
                </w:rPr>
                <m:t>)</m:t>
              </m:r>
            </m:e>
          </m:rad>
          <m:r>
            <m:rPr>
              <m:sty m:val="p"/>
            </m:rPr>
            <w:rPr>
              <w:rFonts w:ascii="Cambria Math" w:hAnsi="Cambria Math"/>
              <w:color w:val="000000"/>
            </w:rPr>
            <m:t>,</m:t>
          </m:r>
        </m:oMath>
      </m:oMathPara>
    </w:p>
    <w:p w14:paraId="46B6620D" w14:textId="77777777" w:rsidR="008C5D65" w:rsidRDefault="00000000">
      <w:pPr>
        <w:spacing w:after="210" w:line="360" w:lineRule="auto"/>
      </w:pPr>
      <w:r>
        <w:rPr>
          <w:rFonts w:eastAsia="Georgia" w:hAnsi="Georgia" w:cs="Georgia"/>
          <w:color w:val="000000"/>
        </w:rPr>
        <w:t>and:</w:t>
      </w:r>
    </w:p>
    <w:p w14:paraId="5DDC7938" w14:textId="77777777" w:rsidR="008C5D65" w:rsidRDefault="00000000">
      <w:pPr>
        <w:spacing w:after="210" w:line="360" w:lineRule="auto"/>
      </w:pPr>
      <m:oMathPara>
        <m:oMath>
          <m:r>
            <w:rPr>
              <w:rFonts w:ascii="Cambria Math" w:hAnsi="Cambria Math"/>
              <w:color w:val="000000"/>
            </w:rPr>
            <m:t>Corr</m:t>
          </m:r>
          <m:r>
            <m:rPr>
              <m:sty m:val="p"/>
            </m:rPr>
            <w:rPr>
              <w:rFonts w:ascii="Cambria Math" w:hAnsi="Cambria Math"/>
              <w:color w:val="000000"/>
            </w:rPr>
            <m:t>(</m:t>
          </m:r>
          <m:r>
            <w:rPr>
              <w:rFonts w:ascii="Cambria Math" w:hAnsi="Cambria Math"/>
              <w:color w:val="000000"/>
            </w:rPr>
            <m:t>E</m:t>
          </m:r>
          <m:sSubSup>
            <m:sSubSupPr>
              <m:ctrlPr>
                <w:rPr>
                  <w:rFonts w:ascii="Cambria Math" w:hAnsi="Cambria Math"/>
                  <w:color w:val="000000"/>
                </w:rPr>
              </m:ctrlPr>
            </m:sSubSupPr>
            <m:e>
              <m:r>
                <w:rPr>
                  <w:rFonts w:ascii="Cambria Math" w:hAnsi="Cambria Math"/>
                  <w:color w:val="000000"/>
                </w:rPr>
                <m:t>L</m:t>
              </m:r>
            </m:e>
            <m:sub>
              <m:r>
                <w:rPr>
                  <w:rFonts w:ascii="Cambria Math" w:hAnsi="Cambria Math"/>
                  <w:color w:val="000000"/>
                </w:rPr>
                <m:t>t</m:t>
              </m:r>
            </m:sub>
            <m:sup>
              <m:r>
                <w:rPr>
                  <w:rFonts w:ascii="Cambria Math" w:hAnsi="Cambria Math"/>
                  <w:color w:val="000000"/>
                </w:rPr>
                <m:t>TCEL</m:t>
              </m:r>
            </m:sup>
          </m:sSubSup>
          <m:r>
            <m:rPr>
              <m:sty m:val="p"/>
            </m:rPr>
            <w:rPr>
              <w:rFonts w:ascii="Cambria Math" w:hAnsi="Cambria Math"/>
              <w:color w:val="000000"/>
            </w:rPr>
            <m:t>,</m:t>
          </m:r>
          <m:r>
            <w:rPr>
              <w:rFonts w:ascii="Cambria Math" w:hAnsi="Cambria Math"/>
              <w:color w:val="000000"/>
            </w:rPr>
            <m:t>GD</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t</m:t>
              </m:r>
            </m:sub>
          </m:sSub>
          <m:r>
            <m:rPr>
              <m:sty m:val="p"/>
            </m:rPr>
            <w:rPr>
              <w:rFonts w:ascii="Cambria Math" w:hAnsi="Cambria Math"/>
              <w:color w:val="000000"/>
            </w:rPr>
            <m:t xml:space="preserve">), </m:t>
          </m:r>
          <m:r>
            <w:rPr>
              <w:rFonts w:ascii="Cambria Math" w:hAnsi="Cambria Math"/>
              <w:color w:val="000000"/>
            </w:rPr>
            <m:t>Corr</m:t>
          </m:r>
          <m:r>
            <m:rPr>
              <m:sty m:val="p"/>
            </m:rPr>
            <w:rPr>
              <w:rFonts w:ascii="Cambria Math" w:hAnsi="Cambria Math"/>
              <w:color w:val="000000"/>
            </w:rPr>
            <m:t>(</m:t>
          </m:r>
          <m:r>
            <w:rPr>
              <w:rFonts w:ascii="Cambria Math" w:hAnsi="Cambria Math"/>
              <w:color w:val="000000"/>
            </w:rPr>
            <m:t>E</m:t>
          </m:r>
          <m:sSubSup>
            <m:sSubSupPr>
              <m:ctrlPr>
                <w:rPr>
                  <w:rFonts w:ascii="Cambria Math" w:hAnsi="Cambria Math"/>
                  <w:color w:val="000000"/>
                </w:rPr>
              </m:ctrlPr>
            </m:sSubSupPr>
            <m:e>
              <m:r>
                <w:rPr>
                  <w:rFonts w:ascii="Cambria Math" w:hAnsi="Cambria Math"/>
                  <w:color w:val="000000"/>
                </w:rPr>
                <m:t>L</m:t>
              </m:r>
            </m:e>
            <m:sub>
              <m:r>
                <w:rPr>
                  <w:rFonts w:ascii="Cambria Math" w:hAnsi="Cambria Math"/>
                  <w:color w:val="000000"/>
                </w:rPr>
                <m:t>t</m:t>
              </m:r>
            </m:sub>
            <m:sup>
              <m:r>
                <w:rPr>
                  <w:rFonts w:ascii="Cambria Math" w:hAnsi="Cambria Math"/>
                  <w:color w:val="000000"/>
                </w:rPr>
                <m:t>ECL</m:t>
              </m:r>
            </m:sup>
          </m:sSubSup>
          <m:r>
            <m:rPr>
              <m:sty m:val="p"/>
            </m:rPr>
            <w:rPr>
              <w:rFonts w:ascii="Cambria Math" w:hAnsi="Cambria Math"/>
              <w:color w:val="000000"/>
            </w:rPr>
            <m:t>,</m:t>
          </m:r>
          <m:r>
            <w:rPr>
              <w:rFonts w:ascii="Cambria Math" w:hAnsi="Cambria Math"/>
              <w:color w:val="000000"/>
            </w:rPr>
            <m:t>GD</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t</m:t>
              </m:r>
            </m:sub>
          </m:sSub>
          <m:r>
            <m:rPr>
              <m:sty m:val="p"/>
            </m:rPr>
            <w:rPr>
              <w:rFonts w:ascii="Cambria Math" w:hAnsi="Cambria Math"/>
              <w:color w:val="000000"/>
            </w:rPr>
            <m:t>).</m:t>
          </m:r>
        </m:oMath>
      </m:oMathPara>
    </w:p>
    <w:p w14:paraId="6E2333C8" w14:textId="77777777" w:rsidR="008C5D65" w:rsidRDefault="00000000">
      <w:pPr>
        <w:spacing w:after="210" w:line="360" w:lineRule="auto"/>
      </w:pPr>
      <w:r>
        <w:rPr>
          <w:rFonts w:eastAsia="Georgia" w:hAnsi="Georgia" w:cs="Georgia"/>
          <w:color w:val="000000"/>
        </w:rPr>
        <w:t>Empirically:</w:t>
      </w:r>
    </w:p>
    <w:p w14:paraId="578662B6" w14:textId="77777777" w:rsidR="008C5D65" w:rsidRDefault="00000000">
      <w:pPr>
        <w:numPr>
          <w:ilvl w:val="0"/>
          <w:numId w:val="5"/>
        </w:numPr>
        <w:spacing w:before="105" w:after="105" w:line="360" w:lineRule="auto"/>
      </w:pP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ECL</m:t>
            </m:r>
          </m:sub>
        </m:sSub>
      </m:oMath>
      <w:r>
        <w:rPr>
          <w:rFonts w:eastAsia="Georgia" w:hAnsi="Georgia" w:cs="Georgia"/>
          <w:color w:val="000000"/>
        </w:rPr>
        <w:t xml:space="preserve"> is between 2 and 4 times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TCEL</m:t>
            </m:r>
          </m:sub>
        </m:sSub>
      </m:oMath>
      <w:r>
        <w:rPr>
          <w:rFonts w:eastAsia="Georgia" w:hAnsi="Georgia" w:cs="Georgia"/>
          <w:color w:val="000000"/>
        </w:rPr>
        <w:t xml:space="preserve"> across portfolios, confirming that IFRS 9 ECL is substantially more volatile than TCEL.</w:t>
      </w:r>
      <w:bookmarkStart w:id="63" w:name="fnref9_4"/>
      <w:bookmarkEnd w:id="63"/>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64" w:name="fnref7_6"/>
      <w:bookmarkEnd w:id="64"/>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65" w:name="fnref8_4"/>
      <w:bookmarkEnd w:id="65"/>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p>
    <w:p w14:paraId="5985BF0D" w14:textId="77777777" w:rsidR="008C5D65" w:rsidRDefault="00000000">
      <w:pPr>
        <w:numPr>
          <w:ilvl w:val="0"/>
          <w:numId w:val="5"/>
        </w:numPr>
        <w:spacing w:before="105" w:after="105" w:line="360" w:lineRule="auto"/>
      </w:pPr>
      <m:oMath>
        <m:r>
          <w:rPr>
            <w:rFonts w:ascii="Cambria Math" w:hAnsi="Cambria Math"/>
            <w:color w:val="000000"/>
          </w:rPr>
          <m:t>Corr</m:t>
        </m:r>
        <m:r>
          <m:rPr>
            <m:sty m:val="p"/>
          </m:rPr>
          <w:rPr>
            <w:rFonts w:ascii="Cambria Math" w:hAnsi="Cambria Math"/>
            <w:color w:val="000000"/>
          </w:rPr>
          <m:t>(</m:t>
        </m:r>
        <m:r>
          <w:rPr>
            <w:rFonts w:ascii="Cambria Math" w:hAnsi="Cambria Math"/>
            <w:color w:val="000000"/>
          </w:rPr>
          <m:t>E</m:t>
        </m:r>
        <m:sSubSup>
          <m:sSubSupPr>
            <m:ctrlPr>
              <w:rPr>
                <w:rFonts w:ascii="Cambria Math" w:hAnsi="Cambria Math"/>
                <w:color w:val="000000"/>
              </w:rPr>
            </m:ctrlPr>
          </m:sSubSupPr>
          <m:e>
            <m:r>
              <w:rPr>
                <w:rFonts w:ascii="Cambria Math" w:hAnsi="Cambria Math"/>
                <w:color w:val="000000"/>
              </w:rPr>
              <m:t>L</m:t>
            </m:r>
          </m:e>
          <m:sub>
            <m:r>
              <w:rPr>
                <w:rFonts w:ascii="Cambria Math" w:hAnsi="Cambria Math"/>
                <w:color w:val="000000"/>
              </w:rPr>
              <m:t>t</m:t>
            </m:r>
          </m:sub>
          <m:sup>
            <m:r>
              <w:rPr>
                <w:rFonts w:ascii="Cambria Math" w:hAnsi="Cambria Math"/>
                <w:color w:val="000000"/>
              </w:rPr>
              <m:t>ECL</m:t>
            </m:r>
          </m:sup>
        </m:sSubSup>
        <m:r>
          <m:rPr>
            <m:sty m:val="p"/>
          </m:rPr>
          <w:rPr>
            <w:rFonts w:ascii="Cambria Math" w:hAnsi="Cambria Math"/>
            <w:color w:val="000000"/>
          </w:rPr>
          <m:t>,</m:t>
        </m:r>
        <m:r>
          <w:rPr>
            <w:rFonts w:ascii="Cambria Math" w:hAnsi="Cambria Math"/>
            <w:color w:val="000000"/>
          </w:rPr>
          <m:t>GD</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t</m:t>
            </m:r>
          </m:sub>
        </m:sSub>
        <m:r>
          <m:rPr>
            <m:sty m:val="p"/>
          </m:rPr>
          <w:rPr>
            <w:rFonts w:ascii="Cambria Math" w:hAnsi="Cambria Math"/>
            <w:color w:val="000000"/>
          </w:rPr>
          <m:t>)</m:t>
        </m:r>
      </m:oMath>
      <w:r>
        <w:rPr>
          <w:rFonts w:eastAsia="Georgia" w:hAnsi="Georgia" w:cs="Georgia"/>
          <w:color w:val="000000"/>
        </w:rPr>
        <w:t xml:space="preserve"> is significantly negative, while </w:t>
      </w:r>
      <m:oMath>
        <m:r>
          <w:rPr>
            <w:rFonts w:ascii="Cambria Math" w:hAnsi="Cambria Math"/>
            <w:color w:val="000000"/>
          </w:rPr>
          <m:t>Corr</m:t>
        </m:r>
        <m:r>
          <m:rPr>
            <m:sty m:val="p"/>
          </m:rPr>
          <w:rPr>
            <w:rFonts w:ascii="Cambria Math" w:hAnsi="Cambria Math"/>
            <w:color w:val="000000"/>
          </w:rPr>
          <m:t>(</m:t>
        </m:r>
        <m:r>
          <w:rPr>
            <w:rFonts w:ascii="Cambria Math" w:hAnsi="Cambria Math"/>
            <w:color w:val="000000"/>
          </w:rPr>
          <m:t>E</m:t>
        </m:r>
        <m:sSubSup>
          <m:sSubSupPr>
            <m:ctrlPr>
              <w:rPr>
                <w:rFonts w:ascii="Cambria Math" w:hAnsi="Cambria Math"/>
                <w:color w:val="000000"/>
              </w:rPr>
            </m:ctrlPr>
          </m:sSubSupPr>
          <m:e>
            <m:r>
              <w:rPr>
                <w:rFonts w:ascii="Cambria Math" w:hAnsi="Cambria Math"/>
                <w:color w:val="000000"/>
              </w:rPr>
              <m:t>L</m:t>
            </m:r>
          </m:e>
          <m:sub>
            <m:r>
              <w:rPr>
                <w:rFonts w:ascii="Cambria Math" w:hAnsi="Cambria Math"/>
                <w:color w:val="000000"/>
              </w:rPr>
              <m:t>t</m:t>
            </m:r>
          </m:sub>
          <m:sup>
            <m:r>
              <w:rPr>
                <w:rFonts w:ascii="Cambria Math" w:hAnsi="Cambria Math"/>
                <w:color w:val="000000"/>
              </w:rPr>
              <m:t>TCEL</m:t>
            </m:r>
          </m:sup>
        </m:sSubSup>
        <m:r>
          <m:rPr>
            <m:sty m:val="p"/>
          </m:rPr>
          <w:rPr>
            <w:rFonts w:ascii="Cambria Math" w:hAnsi="Cambria Math"/>
            <w:color w:val="000000"/>
          </w:rPr>
          <m:t>,</m:t>
        </m:r>
        <m:r>
          <w:rPr>
            <w:rFonts w:ascii="Cambria Math" w:hAnsi="Cambria Math"/>
            <w:color w:val="000000"/>
          </w:rPr>
          <m:t>GD</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t</m:t>
            </m:r>
          </m:sub>
        </m:sSub>
        <m:r>
          <m:rPr>
            <m:sty m:val="p"/>
          </m:rPr>
          <w:rPr>
            <w:rFonts w:ascii="Cambria Math" w:hAnsi="Cambria Math"/>
            <w:color w:val="000000"/>
          </w:rPr>
          <m:t>)</m:t>
        </m:r>
      </m:oMath>
      <w:r>
        <w:rPr>
          <w:rFonts w:eastAsia="Georgia" w:hAnsi="Georgia" w:cs="Georgia"/>
          <w:color w:val="000000"/>
        </w:rPr>
        <w:t xml:space="preserve"> is close to zero.</w:t>
      </w:r>
      <w:bookmarkStart w:id="66" w:name="fnref7_7"/>
      <w:bookmarkEnd w:id="66"/>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67" w:name="fnref9_5"/>
      <w:bookmarkEnd w:id="67"/>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7AFF34E1" w14:textId="77777777" w:rsidR="008C5D65" w:rsidRDefault="00000000">
      <w:pPr>
        <w:spacing w:after="210" w:line="360" w:lineRule="auto"/>
      </w:pPr>
      <w:r>
        <w:rPr>
          <w:rFonts w:eastAsia="Georgia" w:hAnsi="Georgia" w:cs="Georgia"/>
          <w:color w:val="000000"/>
        </w:rPr>
        <w:t>This supports the view that TCEL is cycle‑neutral and ECL is procyclical.</w:t>
      </w:r>
    </w:p>
    <w:p w14:paraId="2B9C8FCE" w14:textId="77777777" w:rsidR="008C5D65" w:rsidRDefault="00000000">
      <w:pPr>
        <w:spacing w:before="315" w:after="105" w:line="360" w:lineRule="auto"/>
        <w:ind w:left="-30"/>
      </w:pPr>
      <w:bookmarkStart w:id="68" w:name="bm_4_3_panel_regression_ecl_versu_711055"/>
      <w:r>
        <w:rPr>
          <w:rFonts w:eastAsia="Georgia" w:hAnsi="Georgia" w:cs="Georgia"/>
          <w:b/>
          <w:color w:val="000000"/>
          <w:sz w:val="24"/>
        </w:rPr>
        <w:t>4.3 Panel Regression: ECL versus TCEL and Macro Drivers</w:t>
      </w:r>
      <w:bookmarkEnd w:id="68"/>
    </w:p>
    <w:p w14:paraId="30459340" w14:textId="77777777" w:rsidR="008C5D65" w:rsidRDefault="00000000">
      <w:pPr>
        <w:spacing w:after="210" w:line="360" w:lineRule="auto"/>
      </w:pPr>
      <w:r>
        <w:rPr>
          <w:rFonts w:eastAsia="Georgia" w:hAnsi="Georgia" w:cs="Georgia"/>
          <w:color w:val="000000"/>
        </w:rPr>
        <w:t>We estimate:</w:t>
      </w:r>
    </w:p>
    <w:p w14:paraId="782EC7AD" w14:textId="77777777" w:rsidR="008C5D65" w:rsidRDefault="00000000">
      <w:pPr>
        <w:spacing w:after="210" w:line="360" w:lineRule="auto"/>
      </w:pPr>
      <m:oMathPara>
        <m:oMath>
          <m:r>
            <w:rPr>
              <w:rFonts w:ascii="Cambria Math" w:hAnsi="Cambria Math"/>
              <w:color w:val="000000"/>
            </w:rPr>
            <m:t>E</m:t>
          </m:r>
          <m:sSubSup>
            <m:sSubSupPr>
              <m:ctrlPr>
                <w:rPr>
                  <w:rFonts w:ascii="Cambria Math" w:hAnsi="Cambria Math"/>
                  <w:color w:val="000000"/>
                </w:rPr>
              </m:ctrlPr>
            </m:sSubSup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up>
              <m:r>
                <w:rPr>
                  <w:rFonts w:ascii="Cambria Math" w:hAnsi="Cambria Math"/>
                  <w:color w:val="000000"/>
                </w:rPr>
                <m:t>ECL</m:t>
              </m:r>
            </m:sup>
          </m:sSub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α</m:t>
              </m:r>
            </m:e>
            <m:sub>
              <m:r>
                <w:rPr>
                  <w:rFonts w:ascii="Cambria Math" w:hAnsi="Cambria Math"/>
                  <w:color w:val="000000"/>
                </w:rPr>
                <m:t>i</m:t>
              </m:r>
            </m:sub>
          </m:sSub>
          <m:r>
            <m:rPr>
              <m:sty m:val="p"/>
            </m:rPr>
            <w:rPr>
              <w:rFonts w:ascii="Cambria Math" w:hAnsi="Cambria Math"/>
              <w:color w:val="000000"/>
            </w:rPr>
            <m:t>+</m:t>
          </m:r>
          <m:r>
            <w:rPr>
              <w:rFonts w:ascii="Cambria Math" w:hAnsi="Cambria Math"/>
              <w:color w:val="000000"/>
            </w:rPr>
            <m:t>β</m:t>
          </m:r>
          <m:r>
            <m:rPr>
              <m:sty m:val="p"/>
            </m:rPr>
            <w:rPr>
              <w:rFonts w:ascii="Cambria Math" w:hAnsi="Cambria Math"/>
              <w:color w:val="000000"/>
            </w:rPr>
            <m:t xml:space="preserve"> </m:t>
          </m:r>
          <m:r>
            <w:rPr>
              <w:rFonts w:ascii="Cambria Math" w:hAnsi="Cambria Math"/>
              <w:color w:val="000000"/>
            </w:rPr>
            <m:t>E</m:t>
          </m:r>
          <m:sSubSup>
            <m:sSubSupPr>
              <m:ctrlPr>
                <w:rPr>
                  <w:rFonts w:ascii="Cambria Math" w:hAnsi="Cambria Math"/>
                  <w:color w:val="000000"/>
                </w:rPr>
              </m:ctrlPr>
            </m:sSubSup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up>
              <m:r>
                <w:rPr>
                  <w:rFonts w:ascii="Cambria Math" w:hAnsi="Cambria Math"/>
                  <w:color w:val="000000"/>
                </w:rPr>
                <m:t>TCEL</m:t>
              </m:r>
            </m:sup>
          </m:sSubSup>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γ</m:t>
              </m:r>
            </m:e>
            <m:sup>
              <m:r>
                <m:rPr>
                  <m:sty m:val="p"/>
                </m:rPr>
                <w:rPr>
                  <w:rFonts w:ascii="Cambria Math" w:hAnsi="Cambria Math"/>
                  <w:color w:val="000000"/>
                </w:rPr>
                <m:t>'</m:t>
              </m:r>
            </m:sup>
          </m:sSup>
          <m:r>
            <w:rPr>
              <w:rFonts w:ascii="Cambria Math" w:hAnsi="Cambria Math"/>
              <w:color w:val="000000"/>
            </w:rPr>
            <m:t>Macr</m:t>
          </m:r>
          <m:sSub>
            <m:sSubPr>
              <m:ctrlPr>
                <w:rPr>
                  <w:rFonts w:ascii="Cambria Math" w:hAnsi="Cambria Math"/>
                  <w:color w:val="000000"/>
                </w:rPr>
              </m:ctrlPr>
            </m:sSubPr>
            <m:e>
              <m:r>
                <w:rPr>
                  <w:rFonts w:ascii="Cambria Math" w:hAnsi="Cambria Math"/>
                  <w:color w:val="000000"/>
                </w:rPr>
                <m:t>o</m:t>
              </m:r>
            </m:e>
            <m:sub>
              <m:r>
                <w:rPr>
                  <w:rFonts w:ascii="Cambria Math" w:hAnsi="Cambria Math"/>
                  <w:color w:val="000000"/>
                </w:rPr>
                <m:t>t</m:t>
              </m:r>
            </m:sub>
          </m:sSub>
          <m:r>
            <m:rPr>
              <m:sty m:val="p"/>
            </m:rPr>
            <w:rPr>
              <w:rFonts w:ascii="Cambria Math" w:hAnsi="Cambria Math"/>
              <w:color w:val="000000"/>
            </w:rPr>
            <m:t>+</m:t>
          </m:r>
          <m:r>
            <w:rPr>
              <w:rFonts w:ascii="Cambria Math" w:hAnsi="Cambria Math"/>
              <w:color w:val="000000"/>
            </w:rPr>
            <m:t>δStageShar</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ε</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oMath>
      </m:oMathPara>
    </w:p>
    <w:p w14:paraId="35AF385A" w14:textId="77777777" w:rsidR="008C5D65" w:rsidRDefault="00000000">
      <w:pPr>
        <w:spacing w:after="210" w:line="360" w:lineRule="auto"/>
      </w:pPr>
      <w:r>
        <w:rPr>
          <w:rFonts w:eastAsia="Georgia" w:hAnsi="Georgia" w:cs="Georgia"/>
          <w:color w:val="000000"/>
        </w:rPr>
        <w:t xml:space="preserve">where </w:t>
      </w:r>
      <m:oMath>
        <m:sSub>
          <m:sSubPr>
            <m:ctrlPr>
              <w:rPr>
                <w:rFonts w:ascii="Cambria Math" w:hAnsi="Cambria Math"/>
                <w:color w:val="000000"/>
              </w:rPr>
            </m:ctrlPr>
          </m:sSubPr>
          <m:e>
            <m:r>
              <w:rPr>
                <w:rFonts w:ascii="Cambria Math" w:hAnsi="Cambria Math"/>
                <w:color w:val="000000"/>
              </w:rPr>
              <m:t>α</m:t>
            </m:r>
          </m:e>
          <m:sub>
            <m:r>
              <w:rPr>
                <w:rFonts w:ascii="Cambria Math" w:hAnsi="Cambria Math"/>
                <w:color w:val="000000"/>
              </w:rPr>
              <m:t>i</m:t>
            </m:r>
          </m:sub>
        </m:sSub>
      </m:oMath>
      <w:r>
        <w:rPr>
          <w:rFonts w:eastAsia="Georgia" w:hAnsi="Georgia" w:cs="Georgia"/>
          <w:color w:val="000000"/>
        </w:rPr>
        <w:t xml:space="preserve"> are portfolio fixed effects, </w:t>
      </w:r>
      <m:oMath>
        <m:r>
          <w:rPr>
            <w:rFonts w:ascii="Cambria Math" w:hAnsi="Cambria Math"/>
            <w:color w:val="000000"/>
          </w:rPr>
          <m:t>Macr</m:t>
        </m:r>
        <m:sSub>
          <m:sSubPr>
            <m:ctrlPr>
              <w:rPr>
                <w:rFonts w:ascii="Cambria Math" w:hAnsi="Cambria Math"/>
                <w:color w:val="000000"/>
              </w:rPr>
            </m:ctrlPr>
          </m:sSubPr>
          <m:e>
            <m:r>
              <w:rPr>
                <w:rFonts w:ascii="Cambria Math" w:hAnsi="Cambria Math"/>
                <w:color w:val="000000"/>
              </w:rPr>
              <m:t>o</m:t>
            </m:r>
          </m:e>
          <m:sub>
            <m:r>
              <w:rPr>
                <w:rFonts w:ascii="Cambria Math" w:hAnsi="Cambria Math"/>
                <w:color w:val="000000"/>
              </w:rPr>
              <m:t>t</m:t>
            </m:r>
          </m:sub>
        </m:sSub>
      </m:oMath>
      <w:r>
        <w:rPr>
          <w:rFonts w:eastAsia="Georgia" w:hAnsi="Georgia" w:cs="Georgia"/>
          <w:color w:val="000000"/>
        </w:rPr>
        <w:t xml:space="preserve"> includes GDP growth and other macro indicators, and </w:t>
      </w:r>
      <m:oMath>
        <m:r>
          <w:rPr>
            <w:rFonts w:ascii="Cambria Math" w:hAnsi="Cambria Math"/>
            <w:color w:val="000000"/>
          </w:rPr>
          <m:t>StageShar</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oMath>
      <w:r>
        <w:rPr>
          <w:rFonts w:eastAsia="Georgia" w:hAnsi="Georgia" w:cs="Georgia"/>
          <w:color w:val="000000"/>
        </w:rPr>
        <w:t xml:space="preserve"> is the share of Stage 2/3 exposures.</w:t>
      </w:r>
      <w:bookmarkStart w:id="69" w:name="fnref15"/>
      <w:bookmarkEnd w:id="69"/>
      <w:r>
        <w:fldChar w:fldCharType="begin"/>
      </w:r>
      <w:r>
        <w:instrText>HYPERLINK \l "fn15" \h</w:instrText>
      </w:r>
      <w:r>
        <w:fldChar w:fldCharType="separate"/>
      </w:r>
      <w:r>
        <w:rPr>
          <w:rFonts w:ascii="Helvetica Neue" w:eastAsia="Helvetica Neue" w:hAnsi="Helvetica Neue" w:cs="Helvetica Neue"/>
          <w:u w:val="single"/>
          <w:vertAlign w:val="superscript"/>
        </w:rPr>
        <w:t>[15]</w:t>
      </w:r>
      <w:r>
        <w:fldChar w:fldCharType="end"/>
      </w:r>
      <w:bookmarkStart w:id="70" w:name="fnref16"/>
      <w:bookmarkEnd w:id="70"/>
      <w:r>
        <w:fldChar w:fldCharType="begin"/>
      </w:r>
      <w:r>
        <w:instrText>HYPERLINK \l "fn16" \h</w:instrText>
      </w:r>
      <w:r>
        <w:fldChar w:fldCharType="separate"/>
      </w:r>
      <w:r>
        <w:rPr>
          <w:rFonts w:ascii="Helvetica Neue" w:eastAsia="Helvetica Neue" w:hAnsi="Helvetica Neue" w:cs="Helvetica Neue"/>
          <w:u w:val="single"/>
          <w:vertAlign w:val="superscript"/>
        </w:rPr>
        <w:t>[16]</w:t>
      </w:r>
      <w:r>
        <w:fldChar w:fldCharType="end"/>
      </w:r>
      <w:bookmarkStart w:id="71" w:name="fnref6_5"/>
      <w:bookmarkEnd w:id="71"/>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1E119BF4" w14:textId="77777777" w:rsidR="008C5D65" w:rsidRDefault="00000000">
      <w:pPr>
        <w:spacing w:after="210" w:line="360" w:lineRule="auto"/>
      </w:pPr>
      <w:r>
        <w:rPr>
          <w:rFonts w:eastAsia="Georgia" w:hAnsi="Georgia" w:cs="Georgia"/>
          <w:color w:val="000000"/>
        </w:rPr>
        <w:t>Stylised results:</w:t>
      </w:r>
    </w:p>
    <w:p w14:paraId="2498AF84" w14:textId="77777777" w:rsidR="008C5D65" w:rsidRDefault="00000000">
      <w:pPr>
        <w:numPr>
          <w:ilvl w:val="0"/>
          <w:numId w:val="6"/>
        </w:numPr>
        <w:spacing w:before="105" w:after="105" w:line="360" w:lineRule="auto"/>
      </w:pPr>
      <m:oMath>
        <m:r>
          <w:rPr>
            <w:rFonts w:ascii="Cambria Math" w:hAnsi="Cambria Math"/>
            <w:color w:val="000000"/>
          </w:rPr>
          <m:t>β</m:t>
        </m:r>
        <m:r>
          <m:rPr>
            <m:sty m:val="p"/>
          </m:rPr>
          <w:rPr>
            <w:rFonts w:ascii="Cambria Math" w:hAnsi="Cambria Math"/>
            <w:color w:val="000000"/>
          </w:rPr>
          <m:t>&gt;0</m:t>
        </m:r>
      </m:oMath>
      <w:r>
        <w:rPr>
          <w:rFonts w:eastAsia="Georgia" w:hAnsi="Georgia" w:cs="Georgia"/>
          <w:color w:val="000000"/>
        </w:rPr>
        <w:t xml:space="preserve"> and significant: TCEL explains the structural level of ECL.</w:t>
      </w:r>
    </w:p>
    <w:p w14:paraId="1092268F" w14:textId="77777777" w:rsidR="008C5D65" w:rsidRDefault="00000000">
      <w:pPr>
        <w:numPr>
          <w:ilvl w:val="0"/>
          <w:numId w:val="6"/>
        </w:numPr>
        <w:spacing w:before="105" w:after="105" w:line="360" w:lineRule="auto"/>
      </w:pPr>
      <w:r>
        <w:rPr>
          <w:rFonts w:eastAsia="Georgia" w:hAnsi="Georgia" w:cs="Georgia"/>
          <w:color w:val="000000"/>
        </w:rPr>
        <w:t xml:space="preserve">Macro and staging terms significantly improve </w:t>
      </w:r>
      <m:oMath>
        <m:sSup>
          <m:sSupPr>
            <m:ctrlPr>
              <w:rPr>
                <w:rFonts w:ascii="Cambria Math" w:hAnsi="Cambria Math"/>
                <w:color w:val="000000"/>
              </w:rPr>
            </m:ctrlPr>
          </m:sSupPr>
          <m:e>
            <m:r>
              <w:rPr>
                <w:rFonts w:ascii="Cambria Math" w:hAnsi="Cambria Math"/>
                <w:color w:val="000000"/>
              </w:rPr>
              <m:t>R</m:t>
            </m:r>
          </m:e>
          <m:sup>
            <m:r>
              <m:rPr>
                <m:sty m:val="p"/>
              </m:rPr>
              <w:rPr>
                <w:rFonts w:ascii="Cambria Math" w:hAnsi="Cambria Math"/>
                <w:color w:val="000000"/>
              </w:rPr>
              <m:t>2</m:t>
            </m:r>
          </m:sup>
        </m:sSup>
      </m:oMath>
      <w:r>
        <w:rPr>
          <w:rFonts w:eastAsia="Georgia" w:hAnsi="Georgia" w:cs="Georgia"/>
          <w:color w:val="000000"/>
        </w:rPr>
        <w:t>, capturing most of the cyclical variation.</w:t>
      </w:r>
      <w:bookmarkStart w:id="72" w:name="fnref8_5"/>
      <w:bookmarkEnd w:id="72"/>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73" w:name="fnref7_8"/>
      <w:bookmarkEnd w:id="73"/>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51DDF9FD" w14:textId="77777777" w:rsidR="008C5D65" w:rsidRDefault="00000000">
      <w:pPr>
        <w:numPr>
          <w:ilvl w:val="0"/>
          <w:numId w:val="6"/>
        </w:numPr>
        <w:spacing w:before="105" w:after="105" w:line="360" w:lineRule="auto"/>
      </w:pPr>
      <w:r>
        <w:rPr>
          <w:rFonts w:eastAsia="Georgia" w:hAnsi="Georgia" w:cs="Georgia"/>
          <w:color w:val="000000"/>
        </w:rPr>
        <w:lastRenderedPageBreak/>
        <w:t>A TCEL‑only model explains most cross‑sectional but not time‑series variation; adding macro/staging restores a much better fit.</w:t>
      </w:r>
    </w:p>
    <w:p w14:paraId="4BCC4809" w14:textId="77777777" w:rsidR="008C5D65" w:rsidRDefault="00000000">
      <w:pPr>
        <w:spacing w:after="210" w:line="360" w:lineRule="auto"/>
      </w:pPr>
      <w:r>
        <w:rPr>
          <w:rFonts w:eastAsia="Georgia" w:hAnsi="Georgia" w:cs="Georgia"/>
          <w:color w:val="000000"/>
        </w:rPr>
        <w:t>This is consistent with:</w:t>
      </w:r>
    </w:p>
    <w:p w14:paraId="76F45509" w14:textId="77777777" w:rsidR="008C5D65" w:rsidRDefault="00000000">
      <w:pPr>
        <w:spacing w:after="210" w:line="360" w:lineRule="auto"/>
      </w:pPr>
      <m:oMathPara>
        <m:oMath>
          <m:r>
            <w:rPr>
              <w:rFonts w:ascii="Cambria Math" w:hAnsi="Cambria Math"/>
              <w:color w:val="000000"/>
            </w:rPr>
            <m:t>EC</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r>
            <w:rPr>
              <w:rFonts w:ascii="Cambria Math" w:hAnsi="Cambria Math"/>
              <w:color w:val="000000"/>
            </w:rPr>
            <m:t>TCE</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sSubSup>
            <m:sSubSupPr>
              <m:ctrlPr>
                <w:rPr>
                  <w:rFonts w:ascii="Cambria Math" w:hAnsi="Cambria Math"/>
                  <w:color w:val="000000"/>
                </w:rPr>
              </m:ctrlPr>
            </m:sSubSupPr>
            <m:e>
              <m:r>
                <m:rPr>
                  <m:sty m:val="p"/>
                </m:rPr>
                <w:rPr>
                  <w:rFonts w:ascii="Cambria Math" w:hAnsi="Cambria Math"/>
                  <w:color w:val="000000"/>
                </w:rPr>
                <m:t>Ω</m:t>
              </m:r>
            </m:e>
            <m:sub>
              <m:r>
                <w:rPr>
                  <w:rFonts w:ascii="Cambria Math" w:hAnsi="Cambria Math"/>
                  <w:color w:val="000000"/>
                </w:rPr>
                <m:t>t</m:t>
              </m:r>
            </m:sub>
            <m:sup>
              <m:r>
                <w:rPr>
                  <w:rFonts w:ascii="Cambria Math" w:hAnsi="Cambria Math"/>
                  <w:color w:val="000000"/>
                </w:rPr>
                <m:t>macro</m:t>
              </m:r>
            </m:sup>
          </m:sSubSup>
          <m:r>
            <m:rPr>
              <m:sty m:val="p"/>
            </m:rPr>
            <w:rPr>
              <w:rFonts w:ascii="Cambria Math" w:hAnsi="Cambria Math"/>
              <w:color w:val="000000"/>
            </w:rPr>
            <m:t>+</m:t>
          </m:r>
          <m:sSubSup>
            <m:sSubSupPr>
              <m:ctrlPr>
                <w:rPr>
                  <w:rFonts w:ascii="Cambria Math" w:hAnsi="Cambria Math"/>
                  <w:color w:val="000000"/>
                </w:rPr>
              </m:ctrlPr>
            </m:sSubSupPr>
            <m:e>
              <m:r>
                <m:rPr>
                  <m:sty m:val="p"/>
                </m:rPr>
                <w:rPr>
                  <w:rFonts w:ascii="Cambria Math" w:hAnsi="Cambria Math"/>
                  <w:color w:val="000000"/>
                </w:rPr>
                <m:t>Ω</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up>
              <m:r>
                <w:rPr>
                  <w:rFonts w:ascii="Cambria Math" w:hAnsi="Cambria Math"/>
                  <w:color w:val="000000"/>
                </w:rPr>
                <m:t>stage</m:t>
              </m:r>
            </m:sup>
          </m:sSubSup>
          <m:r>
            <m:rPr>
              <m:sty m:val="p"/>
            </m:rPr>
            <w:rPr>
              <w:rFonts w:ascii="Cambria Math" w:hAnsi="Cambria Math"/>
              <w:color w:val="000000"/>
            </w:rPr>
            <m:t>,</m:t>
          </m:r>
        </m:oMath>
      </m:oMathPara>
    </w:p>
    <w:p w14:paraId="166F3D52" w14:textId="77777777" w:rsidR="008C5D65" w:rsidRDefault="00000000">
      <w:pPr>
        <w:spacing w:after="210" w:line="360" w:lineRule="auto"/>
      </w:pPr>
      <w:r>
        <w:rPr>
          <w:rFonts w:eastAsia="Georgia" w:hAnsi="Georgia" w:cs="Georgia"/>
          <w:color w:val="000000"/>
        </w:rPr>
        <w:t xml:space="preserve">with </w:t>
      </w:r>
      <m:oMath>
        <m:sSubSup>
          <m:sSubSupPr>
            <m:ctrlPr>
              <w:rPr>
                <w:rFonts w:ascii="Cambria Math" w:hAnsi="Cambria Math"/>
                <w:color w:val="000000"/>
              </w:rPr>
            </m:ctrlPr>
          </m:sSubSupPr>
          <m:e>
            <m:r>
              <m:rPr>
                <m:sty m:val="p"/>
              </m:rPr>
              <w:rPr>
                <w:rFonts w:ascii="Cambria Math" w:hAnsi="Cambria Math"/>
                <w:color w:val="000000"/>
              </w:rPr>
              <m:t>Ω</m:t>
            </m:r>
          </m:e>
          <m:sub>
            <m:r>
              <w:rPr>
                <w:rFonts w:ascii="Cambria Math" w:hAnsi="Cambria Math"/>
                <w:color w:val="000000"/>
              </w:rPr>
              <m:t>t</m:t>
            </m:r>
          </m:sub>
          <m:sup>
            <m:r>
              <w:rPr>
                <w:rFonts w:ascii="Cambria Math" w:hAnsi="Cambria Math"/>
                <w:color w:val="000000"/>
              </w:rPr>
              <m:t>macro</m:t>
            </m:r>
          </m:sup>
        </m:sSubSup>
      </m:oMath>
      <w:r>
        <w:rPr>
          <w:rFonts w:eastAsia="Georgia" w:hAnsi="Georgia" w:cs="Georgia"/>
          <w:color w:val="000000"/>
        </w:rPr>
        <w:t xml:space="preserve"> and </w:t>
      </w:r>
      <m:oMath>
        <m:sSubSup>
          <m:sSubSupPr>
            <m:ctrlPr>
              <w:rPr>
                <w:rFonts w:ascii="Cambria Math" w:hAnsi="Cambria Math"/>
                <w:color w:val="000000"/>
              </w:rPr>
            </m:ctrlPr>
          </m:sSubSupPr>
          <m:e>
            <m:r>
              <m:rPr>
                <m:sty m:val="p"/>
              </m:rPr>
              <w:rPr>
                <w:rFonts w:ascii="Cambria Math" w:hAnsi="Cambria Math"/>
                <w:color w:val="000000"/>
              </w:rPr>
              <m:t>Ω</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up>
            <m:r>
              <w:rPr>
                <w:rFonts w:ascii="Cambria Math" w:hAnsi="Cambria Math"/>
                <w:color w:val="000000"/>
              </w:rPr>
              <m:t>stage</m:t>
            </m:r>
          </m:sup>
        </m:sSubSup>
      </m:oMath>
      <w:r>
        <w:rPr>
          <w:rFonts w:eastAsia="Georgia" w:hAnsi="Georgia" w:cs="Georgia"/>
          <w:color w:val="000000"/>
        </w:rPr>
        <w:t xml:space="preserve"> driving incremental volatility.</w:t>
      </w:r>
    </w:p>
    <w:p w14:paraId="449040CA" w14:textId="77777777" w:rsidR="008C5D65" w:rsidRDefault="00000000">
      <w:pPr>
        <w:spacing w:before="315" w:after="105" w:line="360" w:lineRule="auto"/>
        <w:ind w:left="-30"/>
      </w:pPr>
      <w:bookmarkStart w:id="74" w:name="bm_4_4_eva_and_raroc_dynamics_tce_be5d00"/>
      <w:r>
        <w:rPr>
          <w:rFonts w:eastAsia="Georgia" w:hAnsi="Georgia" w:cs="Georgia"/>
          <w:b/>
          <w:color w:val="000000"/>
          <w:sz w:val="24"/>
        </w:rPr>
        <w:t>4.4 EVA and RAROC Dynamics: TCEL versus ECL</w:t>
      </w:r>
      <w:bookmarkEnd w:id="74"/>
    </w:p>
    <w:p w14:paraId="6D126297" w14:textId="77777777" w:rsidR="008C5D65" w:rsidRDefault="00000000">
      <w:pPr>
        <w:spacing w:after="210" w:line="360" w:lineRule="auto"/>
      </w:pPr>
      <w:r>
        <w:rPr>
          <w:rFonts w:eastAsia="Georgia" w:hAnsi="Georgia" w:cs="Georgia"/>
          <w:color w:val="000000"/>
        </w:rPr>
        <w:t>We compare volatility, cyclicality and cross‑sectional discrimination of EVA and RAROC:</w:t>
      </w:r>
    </w:p>
    <w:p w14:paraId="755D398E" w14:textId="77777777" w:rsidR="008C5D65" w:rsidRDefault="00000000">
      <w:pPr>
        <w:numPr>
          <w:ilvl w:val="0"/>
          <w:numId w:val="7"/>
        </w:numPr>
        <w:spacing w:before="105" w:after="105" w:line="360" w:lineRule="auto"/>
      </w:pPr>
      <w:r>
        <w:rPr>
          <w:rFonts w:eastAsia="Georgia" w:hAnsi="Georgia" w:cs="Georgia"/>
          <w:color w:val="000000"/>
        </w:rPr>
        <w:t>EVA</w:t>
      </w:r>
      <m:oMath>
        <m:sSup>
          <m:sSupPr>
            <m:ctrlPr>
              <w:rPr>
                <w:rFonts w:ascii="Cambria Math" w:hAnsi="Cambria Math"/>
                <w:color w:val="000000"/>
              </w:rPr>
            </m:ctrlPr>
          </m:sSupPr>
          <m:e/>
          <m:sup/>
        </m:sSup>
      </m:oMath>
      <w:r>
        <w:rPr>
          <w:rFonts w:eastAsia="Georgia" w:hAnsi="Georgia" w:cs="Georgia"/>
          <w:color w:val="000000"/>
        </w:rPr>
        <w:t xml:space="preserve"> and RAROC</w:t>
      </w:r>
      <m:oMath>
        <m:sSup>
          <m:sSupPr>
            <m:ctrlPr>
              <w:rPr>
                <w:rFonts w:ascii="Cambria Math" w:hAnsi="Cambria Math"/>
                <w:color w:val="000000"/>
              </w:rPr>
            </m:ctrlPr>
          </m:sSupPr>
          <m:e/>
          <m:sup/>
        </m:sSup>
      </m:oMath>
      <w:r>
        <w:rPr>
          <w:rFonts w:eastAsia="Georgia" w:hAnsi="Georgia" w:cs="Georgia"/>
          <w:color w:val="000000"/>
        </w:rPr>
        <w:t xml:space="preserve"> are significantly more volatile and strongly procyclical than their TCEL‑based counterparts.</w:t>
      </w:r>
      <w:bookmarkStart w:id="75" w:name="fnref9_6"/>
      <w:bookmarkEnd w:id="75"/>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76" w:name="fnref7_9"/>
      <w:bookmarkEnd w:id="76"/>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77" w:name="fnref8_6"/>
      <w:bookmarkEnd w:id="77"/>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p>
    <w:p w14:paraId="147602C9" w14:textId="77777777" w:rsidR="008C5D65" w:rsidRDefault="00000000">
      <w:pPr>
        <w:numPr>
          <w:ilvl w:val="0"/>
          <w:numId w:val="7"/>
        </w:numPr>
        <w:spacing w:before="105" w:after="105" w:line="360" w:lineRule="auto"/>
      </w:pPr>
      <w:r>
        <w:rPr>
          <w:rFonts w:eastAsia="Georgia" w:hAnsi="Georgia" w:cs="Georgia"/>
          <w:color w:val="000000"/>
        </w:rPr>
        <w:t>EVA</w:t>
      </w:r>
      <m:oMath>
        <m:sSup>
          <m:sSupPr>
            <m:ctrlPr>
              <w:rPr>
                <w:rFonts w:ascii="Cambria Math" w:hAnsi="Cambria Math"/>
                <w:color w:val="000000"/>
              </w:rPr>
            </m:ctrlPr>
          </m:sSupPr>
          <m:e/>
          <m:sup/>
        </m:sSup>
      </m:oMath>
      <w:r>
        <w:rPr>
          <w:rFonts w:eastAsia="Georgia" w:hAnsi="Georgia" w:cs="Georgia"/>
          <w:color w:val="000000"/>
        </w:rPr>
        <w:t xml:space="preserve"> and RAROC</w:t>
      </w:r>
      <m:oMath>
        <m:sSup>
          <m:sSupPr>
            <m:ctrlPr>
              <w:rPr>
                <w:rFonts w:ascii="Cambria Math" w:hAnsi="Cambria Math"/>
                <w:color w:val="000000"/>
              </w:rPr>
            </m:ctrlPr>
          </m:sSupPr>
          <m:e/>
          <m:sup/>
        </m:sSup>
      </m:oMath>
      <w:r>
        <w:rPr>
          <w:rFonts w:eastAsia="Georgia" w:hAnsi="Georgia" w:cs="Georgia"/>
          <w:color w:val="000000"/>
        </w:rPr>
        <w:t xml:space="preserve"> are smoother and more aligned with internal ratings and qualitative portfolio assessments.</w:t>
      </w:r>
    </w:p>
    <w:p w14:paraId="0E5598C9" w14:textId="77777777" w:rsidR="008C5D65" w:rsidRDefault="00000000">
      <w:pPr>
        <w:numPr>
          <w:ilvl w:val="0"/>
          <w:numId w:val="7"/>
        </w:numPr>
        <w:spacing w:before="105" w:after="105" w:line="360" w:lineRule="auto"/>
      </w:pPr>
      <w:r>
        <w:rPr>
          <w:rFonts w:eastAsia="Georgia" w:hAnsi="Georgia" w:cs="Georgia"/>
          <w:color w:val="000000"/>
        </w:rPr>
        <w:t>Portfolio rankings by RAROC are more stable over time under TCEL, while ECL‑based RAROC exhibits frequent ranking reversals driven by staging and scenario updates.</w:t>
      </w:r>
    </w:p>
    <w:p w14:paraId="04D3209A" w14:textId="77777777" w:rsidR="008C5D65" w:rsidRDefault="00000000">
      <w:pPr>
        <w:spacing w:after="210" w:line="360" w:lineRule="auto"/>
      </w:pPr>
      <w:r>
        <w:rPr>
          <w:rFonts w:eastAsia="Georgia" w:hAnsi="Georgia" w:cs="Georgia"/>
          <w:color w:val="000000"/>
        </w:rPr>
        <w:t>Overall, TCEL‑based performance measures appear more suitable for internal steering, while ECL is better viewed as an external accounting signal.</w:t>
      </w:r>
    </w:p>
    <w:p w14:paraId="329675A9" w14:textId="77777777" w:rsidR="008C5D65" w:rsidRDefault="008328FE">
      <w:pPr>
        <w:spacing w:before="210" w:after="0" w:line="360" w:lineRule="auto"/>
      </w:pPr>
      <w:r>
        <w:rPr>
          <w:noProof/>
        </w:rPr>
      </w:r>
      <w:r>
        <w:rPr>
          <w:noProof/>
        </w:rPr>
        <w:pict w14:anchorId="2D6929CA">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12C9355" w14:textId="77777777" w:rsidR="008C5D65" w:rsidRDefault="00000000">
      <w:pPr>
        <w:spacing w:before="315" w:after="105" w:line="360" w:lineRule="auto"/>
        <w:ind w:left="-30"/>
      </w:pPr>
      <w:bookmarkStart w:id="78" w:name="bm_5_machine_learning_enhanced_tc_dc1030"/>
      <w:r>
        <w:rPr>
          <w:rFonts w:eastAsia="Georgia" w:hAnsi="Georgia" w:cs="Georgia"/>
          <w:b/>
          <w:color w:val="000000"/>
          <w:sz w:val="24"/>
        </w:rPr>
        <w:t>5. Machine‑Learning Enhanced TCEL/ECL Framework</w:t>
      </w:r>
      <w:bookmarkEnd w:id="78"/>
    </w:p>
    <w:p w14:paraId="361D13E6" w14:textId="77777777" w:rsidR="008C5D65" w:rsidRDefault="00000000">
      <w:pPr>
        <w:spacing w:before="315" w:after="105" w:line="360" w:lineRule="auto"/>
        <w:ind w:left="-30"/>
      </w:pPr>
      <w:bookmarkStart w:id="79" w:name="bm_5_1_rationale_for_ml_in_the_tc_99670c"/>
      <w:r>
        <w:rPr>
          <w:rFonts w:eastAsia="Georgia" w:hAnsi="Georgia" w:cs="Georgia"/>
          <w:b/>
          <w:color w:val="000000"/>
          <w:sz w:val="24"/>
        </w:rPr>
        <w:t>5.1 Rationale for ML in the TCEL–ECL Context</w:t>
      </w:r>
      <w:bookmarkEnd w:id="79"/>
    </w:p>
    <w:p w14:paraId="1491273D" w14:textId="77777777" w:rsidR="008C5D65" w:rsidRDefault="00000000">
      <w:pPr>
        <w:spacing w:after="210" w:line="360" w:lineRule="auto"/>
      </w:pPr>
      <w:r>
        <w:rPr>
          <w:rFonts w:eastAsia="Georgia" w:hAnsi="Georgia" w:cs="Georgia"/>
          <w:color w:val="000000"/>
        </w:rPr>
        <w:t>The relationship between TTC CQI, TCEL, PIT PD, LGD, macro conditions and staging is highly non‑linear and involves complex interactions. Traditional parametric models may fail to capture these effects, leading to either under‑fitting (oversimplified relationships) or ad‑hoc overlays. Recent work shows that explainable ML methods can significantly improve PD and LGD forecasts under IFRS 9 while remaining compatible with regulatory expectations when accompanied by robust governance.</w:t>
      </w:r>
      <w:bookmarkStart w:id="80" w:name="fnref16_1"/>
      <w:bookmarkEnd w:id="80"/>
      <w:r>
        <w:fldChar w:fldCharType="begin"/>
      </w:r>
      <w:r>
        <w:instrText>HYPERLINK \l "fn16" \h</w:instrText>
      </w:r>
      <w:r>
        <w:fldChar w:fldCharType="separate"/>
      </w:r>
      <w:r>
        <w:rPr>
          <w:rFonts w:ascii="Helvetica Neue" w:eastAsia="Helvetica Neue" w:hAnsi="Helvetica Neue" w:cs="Helvetica Neue"/>
          <w:u w:val="single"/>
          <w:vertAlign w:val="superscript"/>
        </w:rPr>
        <w:t>[16]</w:t>
      </w:r>
      <w:r>
        <w:fldChar w:fldCharType="end"/>
      </w:r>
      <w:bookmarkStart w:id="81" w:name="fnref17"/>
      <w:bookmarkEnd w:id="81"/>
      <w:r>
        <w:fldChar w:fldCharType="begin"/>
      </w:r>
      <w:r>
        <w:instrText>HYPERLINK \l "fn17" \h</w:instrText>
      </w:r>
      <w:r>
        <w:fldChar w:fldCharType="separate"/>
      </w:r>
      <w:r>
        <w:rPr>
          <w:rFonts w:ascii="Helvetica Neue" w:eastAsia="Helvetica Neue" w:hAnsi="Helvetica Neue" w:cs="Helvetica Neue"/>
          <w:u w:val="single"/>
          <w:vertAlign w:val="superscript"/>
        </w:rPr>
        <w:t>[17]</w:t>
      </w:r>
      <w:r>
        <w:fldChar w:fldCharType="end"/>
      </w:r>
      <w:bookmarkStart w:id="82" w:name="fnref18"/>
      <w:bookmarkEnd w:id="82"/>
      <w:r>
        <w:fldChar w:fldCharType="begin"/>
      </w:r>
      <w:r>
        <w:instrText>HYPERLINK \l "fn18" \h</w:instrText>
      </w:r>
      <w:r>
        <w:fldChar w:fldCharType="separate"/>
      </w:r>
      <w:r>
        <w:rPr>
          <w:rFonts w:ascii="Helvetica Neue" w:eastAsia="Helvetica Neue" w:hAnsi="Helvetica Neue" w:cs="Helvetica Neue"/>
          <w:u w:val="single"/>
          <w:vertAlign w:val="superscript"/>
        </w:rPr>
        <w:t>[18]</w:t>
      </w:r>
      <w:r>
        <w:fldChar w:fldCharType="end"/>
      </w:r>
      <w:bookmarkStart w:id="83" w:name="fnref19"/>
      <w:bookmarkEnd w:id="83"/>
      <w:r>
        <w:fldChar w:fldCharType="begin"/>
      </w:r>
      <w:r>
        <w:instrText>HYPERLINK \l "fn19" \h</w:instrText>
      </w:r>
      <w:r>
        <w:fldChar w:fldCharType="separate"/>
      </w:r>
      <w:r>
        <w:rPr>
          <w:rFonts w:ascii="Helvetica Neue" w:eastAsia="Helvetica Neue" w:hAnsi="Helvetica Neue" w:cs="Helvetica Neue"/>
          <w:u w:val="single"/>
          <w:vertAlign w:val="superscript"/>
        </w:rPr>
        <w:t>[19]</w:t>
      </w:r>
      <w:r>
        <w:fldChar w:fldCharType="end"/>
      </w:r>
      <w:bookmarkStart w:id="84" w:name="fnref15_1"/>
      <w:bookmarkEnd w:id="84"/>
      <w:r>
        <w:fldChar w:fldCharType="begin"/>
      </w:r>
      <w:r>
        <w:instrText>HYPERLINK \l "fn15" \h</w:instrText>
      </w:r>
      <w:r>
        <w:fldChar w:fldCharType="separate"/>
      </w:r>
      <w:r>
        <w:rPr>
          <w:rFonts w:ascii="Helvetica Neue" w:eastAsia="Helvetica Neue" w:hAnsi="Helvetica Neue" w:cs="Helvetica Neue"/>
          <w:u w:val="single"/>
          <w:vertAlign w:val="superscript"/>
        </w:rPr>
        <w:t>[15]</w:t>
      </w:r>
      <w:r>
        <w:fldChar w:fldCharType="end"/>
      </w:r>
    </w:p>
    <w:p w14:paraId="1F9B09FB" w14:textId="77777777" w:rsidR="008C5D65" w:rsidRDefault="00000000">
      <w:pPr>
        <w:spacing w:after="210" w:line="360" w:lineRule="auto"/>
      </w:pPr>
      <w:r>
        <w:rPr>
          <w:rFonts w:eastAsia="Georgia" w:hAnsi="Georgia" w:cs="Georgia"/>
          <w:color w:val="000000"/>
        </w:rPr>
        <w:t>In our TCEL‑centric setting, ML serves three main purposes:</w:t>
      </w:r>
    </w:p>
    <w:p w14:paraId="19DAAC37" w14:textId="77777777" w:rsidR="008C5D65" w:rsidRDefault="00000000">
      <w:pPr>
        <w:numPr>
          <w:ilvl w:val="0"/>
          <w:numId w:val="8"/>
        </w:numPr>
        <w:spacing w:before="105" w:after="105" w:line="360" w:lineRule="auto"/>
      </w:pPr>
      <w:r>
        <w:rPr>
          <w:rFonts w:eastAsia="Georgia" w:hAnsi="Georgia" w:cs="Georgia"/>
          <w:color w:val="000000"/>
        </w:rPr>
        <w:t>improve PIT PD and short‑term LGD estimates that drive ECL;</w:t>
      </w:r>
      <w:bookmarkStart w:id="85" w:name="fnref17_1"/>
      <w:bookmarkEnd w:id="85"/>
      <w:r>
        <w:fldChar w:fldCharType="begin"/>
      </w:r>
      <w:r>
        <w:instrText>HYPERLINK \l "fn17" \h</w:instrText>
      </w:r>
      <w:r>
        <w:fldChar w:fldCharType="separate"/>
      </w:r>
      <w:r>
        <w:rPr>
          <w:rFonts w:ascii="Helvetica Neue" w:eastAsia="Helvetica Neue" w:hAnsi="Helvetica Neue" w:cs="Helvetica Neue"/>
          <w:u w:val="single"/>
          <w:vertAlign w:val="superscript"/>
        </w:rPr>
        <w:t>[17]</w:t>
      </w:r>
      <w:r>
        <w:fldChar w:fldCharType="end"/>
      </w:r>
      <w:bookmarkStart w:id="86" w:name="fnref18_1"/>
      <w:bookmarkEnd w:id="86"/>
      <w:r>
        <w:fldChar w:fldCharType="begin"/>
      </w:r>
      <w:r>
        <w:instrText>HYPERLINK \l "fn18" \h</w:instrText>
      </w:r>
      <w:r>
        <w:fldChar w:fldCharType="separate"/>
      </w:r>
      <w:r>
        <w:rPr>
          <w:rFonts w:ascii="Helvetica Neue" w:eastAsia="Helvetica Neue" w:hAnsi="Helvetica Neue" w:cs="Helvetica Neue"/>
          <w:u w:val="single"/>
          <w:vertAlign w:val="superscript"/>
        </w:rPr>
        <w:t>[18]</w:t>
      </w:r>
      <w:r>
        <w:fldChar w:fldCharType="end"/>
      </w:r>
    </w:p>
    <w:p w14:paraId="750D7F23" w14:textId="77777777" w:rsidR="008C5D65" w:rsidRDefault="00000000">
      <w:pPr>
        <w:numPr>
          <w:ilvl w:val="0"/>
          <w:numId w:val="8"/>
        </w:numPr>
        <w:spacing w:before="105" w:after="105" w:line="360" w:lineRule="auto"/>
      </w:pPr>
      <w:r>
        <w:rPr>
          <w:rFonts w:eastAsia="Georgia" w:hAnsi="Georgia" w:cs="Georgia"/>
          <w:color w:val="000000"/>
        </w:rPr>
        <w:t>decompose ECL into a TCEL‑consistent component and non‑linear macro/staging components;</w:t>
      </w:r>
    </w:p>
    <w:p w14:paraId="21D354A8" w14:textId="77777777" w:rsidR="008C5D65" w:rsidRDefault="00000000">
      <w:pPr>
        <w:numPr>
          <w:ilvl w:val="0"/>
          <w:numId w:val="8"/>
        </w:numPr>
        <w:spacing w:before="105" w:after="105" w:line="360" w:lineRule="auto"/>
      </w:pPr>
      <w:r>
        <w:rPr>
          <w:rFonts w:eastAsia="Georgia" w:hAnsi="Georgia" w:cs="Georgia"/>
          <w:color w:val="000000"/>
        </w:rPr>
        <w:lastRenderedPageBreak/>
        <w:t>refine the mapping between EL metrics and economic capital/EVA, improving risk discrimination without losing interpretability.</w:t>
      </w:r>
    </w:p>
    <w:p w14:paraId="43637D15" w14:textId="77777777" w:rsidR="008C5D65" w:rsidRDefault="00000000">
      <w:pPr>
        <w:spacing w:before="315" w:after="105" w:line="360" w:lineRule="auto"/>
        <w:ind w:left="-30"/>
      </w:pPr>
      <w:bookmarkStart w:id="87" w:name="bm_5_2_ml_for_pd_and_lgd_consiste_126b0d"/>
      <w:r>
        <w:rPr>
          <w:rFonts w:eastAsia="Georgia" w:hAnsi="Georgia" w:cs="Georgia"/>
          <w:b/>
          <w:color w:val="000000"/>
          <w:sz w:val="24"/>
        </w:rPr>
        <w:t>5.2 ML for PD and LGD Consistent with TCEL</w:t>
      </w:r>
      <w:bookmarkEnd w:id="87"/>
    </w:p>
    <w:p w14:paraId="5AC2767A" w14:textId="77777777" w:rsidR="008C5D65" w:rsidRDefault="00000000">
      <w:pPr>
        <w:spacing w:after="210" w:line="360" w:lineRule="auto"/>
      </w:pPr>
      <w:r>
        <w:rPr>
          <w:rFonts w:eastAsia="Georgia" w:hAnsi="Georgia" w:cs="Georgia"/>
          <w:color w:val="000000"/>
        </w:rPr>
        <w:t xml:space="preserve">For PIT PD, we consider gradient boosting machines (GBM), random forests and survival‑based ML models. Let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oMath>
      <w:r>
        <w:rPr>
          <w:rFonts w:eastAsia="Georgia" w:hAnsi="Georgia" w:cs="Georgia"/>
          <w:color w:val="000000"/>
        </w:rPr>
        <w:t xml:space="preserve"> include:</w:t>
      </w:r>
      <w:bookmarkStart w:id="88" w:name="fnref18_2"/>
      <w:bookmarkEnd w:id="88"/>
      <w:r>
        <w:fldChar w:fldCharType="begin"/>
      </w:r>
      <w:r>
        <w:instrText>HYPERLINK \l "fn18" \h</w:instrText>
      </w:r>
      <w:r>
        <w:fldChar w:fldCharType="separate"/>
      </w:r>
      <w:r>
        <w:rPr>
          <w:rFonts w:ascii="Helvetica Neue" w:eastAsia="Helvetica Neue" w:hAnsi="Helvetica Neue" w:cs="Helvetica Neue"/>
          <w:u w:val="single"/>
          <w:vertAlign w:val="superscript"/>
        </w:rPr>
        <w:t>[18]</w:t>
      </w:r>
      <w:r>
        <w:fldChar w:fldCharType="end"/>
      </w:r>
      <w:bookmarkStart w:id="89" w:name="fnref17_2"/>
      <w:bookmarkEnd w:id="89"/>
      <w:r>
        <w:fldChar w:fldCharType="begin"/>
      </w:r>
      <w:r>
        <w:instrText>HYPERLINK \l "fn17" \h</w:instrText>
      </w:r>
      <w:r>
        <w:fldChar w:fldCharType="separate"/>
      </w:r>
      <w:r>
        <w:rPr>
          <w:rFonts w:ascii="Helvetica Neue" w:eastAsia="Helvetica Neue" w:hAnsi="Helvetica Neue" w:cs="Helvetica Neue"/>
          <w:u w:val="single"/>
          <w:vertAlign w:val="superscript"/>
        </w:rPr>
        <w:t>[17]</w:t>
      </w:r>
      <w:r>
        <w:fldChar w:fldCharType="end"/>
      </w:r>
    </w:p>
    <w:p w14:paraId="71481D14" w14:textId="77777777" w:rsidR="008C5D65" w:rsidRDefault="00000000">
      <w:pPr>
        <w:numPr>
          <w:ilvl w:val="0"/>
          <w:numId w:val="9"/>
        </w:numPr>
        <w:spacing w:before="105" w:after="105" w:line="360" w:lineRule="auto"/>
      </w:pPr>
      <w:r>
        <w:rPr>
          <w:rFonts w:eastAsia="Georgia" w:hAnsi="Georgia" w:cs="Georgia"/>
          <w:color w:val="000000"/>
        </w:rPr>
        <w:t xml:space="preserve">TTC CQI: </w:t>
      </w:r>
      <m:oMath>
        <m:r>
          <w:rPr>
            <w:rFonts w:ascii="Cambria Math" w:hAnsi="Cambria Math"/>
            <w:color w:val="000000"/>
          </w:rPr>
          <m:t>P</m:t>
        </m:r>
        <m:sSubSup>
          <m:sSubSupPr>
            <m:ctrlPr>
              <w:rPr>
                <w:rFonts w:ascii="Cambria Math" w:hAnsi="Cambria Math"/>
                <w:color w:val="000000"/>
              </w:rPr>
            </m:ctrlPr>
          </m:sSubSupPr>
          <m:e>
            <m:r>
              <w:rPr>
                <w:rFonts w:ascii="Cambria Math" w:hAnsi="Cambria Math"/>
                <w:color w:val="000000"/>
              </w:rPr>
              <m:t>D</m:t>
            </m:r>
          </m:e>
          <m:sub>
            <m:r>
              <w:rPr>
                <w:rFonts w:ascii="Cambria Math" w:hAnsi="Cambria Math"/>
                <w:color w:val="000000"/>
              </w:rPr>
              <m:t>i</m:t>
            </m:r>
          </m:sub>
          <m:sup>
            <m:r>
              <w:rPr>
                <w:rFonts w:ascii="Cambria Math" w:hAnsi="Cambria Math"/>
                <w:color w:val="000000"/>
              </w:rPr>
              <m:t>TTC</m:t>
            </m:r>
          </m:sup>
        </m:sSubSup>
        <m:r>
          <m:rPr>
            <m:sty m:val="p"/>
          </m:rPr>
          <w:rPr>
            <w:rFonts w:ascii="Cambria Math" w:hAnsi="Cambria Math"/>
            <w:color w:val="000000"/>
          </w:rPr>
          <m:t>,</m:t>
        </m:r>
        <m:r>
          <w:rPr>
            <w:rFonts w:ascii="Cambria Math" w:hAnsi="Cambria Math"/>
            <w:color w:val="000000"/>
          </w:rPr>
          <m:t>LG</m:t>
        </m:r>
        <m:sSubSup>
          <m:sSubSupPr>
            <m:ctrlPr>
              <w:rPr>
                <w:rFonts w:ascii="Cambria Math" w:hAnsi="Cambria Math"/>
                <w:color w:val="000000"/>
              </w:rPr>
            </m:ctrlPr>
          </m:sSubSupPr>
          <m:e>
            <m:r>
              <w:rPr>
                <w:rFonts w:ascii="Cambria Math" w:hAnsi="Cambria Math"/>
                <w:color w:val="000000"/>
              </w:rPr>
              <m:t>D</m:t>
            </m:r>
          </m:e>
          <m:sub>
            <m:r>
              <w:rPr>
                <w:rFonts w:ascii="Cambria Math" w:hAnsi="Cambria Math"/>
                <w:color w:val="000000"/>
              </w:rPr>
              <m:t>i</m:t>
            </m:r>
          </m:sub>
          <m:sup>
            <m:r>
              <w:rPr>
                <w:rFonts w:ascii="Cambria Math" w:hAnsi="Cambria Math"/>
                <w:color w:val="000000"/>
              </w:rPr>
              <m:t>TTC</m:t>
            </m:r>
          </m:sup>
        </m:sSubSup>
        <m:r>
          <m:rPr>
            <m:sty m:val="p"/>
          </m:rPr>
          <w:rPr>
            <w:rFonts w:ascii="Cambria Math" w:hAnsi="Cambria Math"/>
            <w:color w:val="000000"/>
          </w:rPr>
          <m:t>,</m:t>
        </m:r>
        <m:r>
          <w:rPr>
            <w:rFonts w:ascii="Cambria Math" w:hAnsi="Cambria Math"/>
            <w:color w:val="000000"/>
          </w:rPr>
          <m:t>rating</m:t>
        </m:r>
        <m:r>
          <m:rPr>
            <m:sty m:val="p"/>
          </m:rPr>
          <w:rPr>
            <w:rFonts w:ascii="Cambria Math" w:hAnsi="Cambria Math"/>
            <w:color w:val="000000"/>
          </w:rPr>
          <m:t>,</m:t>
        </m:r>
        <m:r>
          <w:rPr>
            <w:rFonts w:ascii="Cambria Math" w:hAnsi="Cambria Math"/>
            <w:color w:val="000000"/>
          </w:rPr>
          <m:t>delinquencyhistory</m:t>
        </m:r>
      </m:oMath>
      <w:r>
        <w:rPr>
          <w:rFonts w:eastAsia="Georgia" w:hAnsi="Georgia" w:cs="Georgia"/>
          <w:color w:val="000000"/>
        </w:rPr>
        <w:t>;</w:t>
      </w:r>
    </w:p>
    <w:p w14:paraId="769084A5" w14:textId="77777777" w:rsidR="008C5D65" w:rsidRDefault="00000000">
      <w:pPr>
        <w:numPr>
          <w:ilvl w:val="0"/>
          <w:numId w:val="9"/>
        </w:numPr>
        <w:spacing w:before="105" w:after="105" w:line="360" w:lineRule="auto"/>
      </w:pPr>
      <w:r>
        <w:rPr>
          <w:rFonts w:eastAsia="Georgia" w:hAnsi="Georgia" w:cs="Georgia"/>
          <w:color w:val="000000"/>
        </w:rPr>
        <w:t>behavioural variables: utilisation, payment patterns, early‑warning scores;</w:t>
      </w:r>
    </w:p>
    <w:p w14:paraId="213D9BDD" w14:textId="77777777" w:rsidR="008C5D65" w:rsidRDefault="00000000">
      <w:pPr>
        <w:numPr>
          <w:ilvl w:val="0"/>
          <w:numId w:val="9"/>
        </w:numPr>
        <w:spacing w:before="105" w:after="105" w:line="360" w:lineRule="auto"/>
      </w:pPr>
      <w:r>
        <w:rPr>
          <w:rFonts w:eastAsia="Georgia" w:hAnsi="Georgia" w:cs="Georgia"/>
          <w:color w:val="000000"/>
        </w:rPr>
        <w:t>macro variables: GDP growth, unemployment, policy rates;</w:t>
      </w:r>
    </w:p>
    <w:p w14:paraId="539132BE" w14:textId="77777777" w:rsidR="008C5D65" w:rsidRDefault="00000000">
      <w:pPr>
        <w:numPr>
          <w:ilvl w:val="0"/>
          <w:numId w:val="9"/>
        </w:numPr>
        <w:spacing w:before="105" w:after="105" w:line="360" w:lineRule="auto"/>
      </w:pPr>
      <w:r>
        <w:rPr>
          <w:rFonts w:eastAsia="Georgia" w:hAnsi="Georgia" w:cs="Georgia"/>
          <w:color w:val="000000"/>
        </w:rPr>
        <w:t>portfolio and product dummies.</w:t>
      </w:r>
    </w:p>
    <w:p w14:paraId="04548B7A" w14:textId="77777777" w:rsidR="008C5D65" w:rsidRDefault="00000000">
      <w:pPr>
        <w:spacing w:after="210" w:line="360" w:lineRule="auto"/>
      </w:pPr>
      <w:r>
        <w:rPr>
          <w:rFonts w:eastAsia="Georgia" w:hAnsi="Georgia" w:cs="Georgia"/>
          <w:color w:val="000000"/>
        </w:rPr>
        <w:t>We estimate:</w:t>
      </w:r>
    </w:p>
    <w:p w14:paraId="3A7782BD" w14:textId="77777777" w:rsidR="008C5D65" w:rsidRDefault="00000000">
      <w:pPr>
        <w:spacing w:after="210" w:line="360" w:lineRule="auto"/>
      </w:pPr>
      <m:oMathPara>
        <m:oMath>
          <m:r>
            <w:rPr>
              <w:rFonts w:ascii="Cambria Math" w:hAnsi="Cambria Math"/>
              <w:color w:val="000000"/>
            </w:rPr>
            <m:t>P</m:t>
          </m:r>
          <m:sSubSup>
            <m:sSubSupPr>
              <m:ctrlPr>
                <w:rPr>
                  <w:rFonts w:ascii="Cambria Math" w:hAnsi="Cambria Math"/>
                  <w:color w:val="000000"/>
                </w:rPr>
              </m:ctrlPr>
            </m:sSubSupPr>
            <m:e>
              <m:r>
                <w:rPr>
                  <w:rFonts w:ascii="Cambria Math" w:hAnsi="Cambria Math"/>
                  <w:color w:val="000000"/>
                </w:rPr>
                <m:t>D</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r>
                <m:rPr>
                  <m:sty m:val="p"/>
                </m:rPr>
                <w:rPr>
                  <w:rFonts w:ascii="Cambria Math" w:hAnsi="Cambria Math"/>
                  <w:color w:val="000000"/>
                </w:rPr>
                <m:t>+</m:t>
              </m:r>
              <m:r>
                <w:rPr>
                  <w:rFonts w:ascii="Cambria Math" w:hAnsi="Cambria Math"/>
                  <w:color w:val="000000"/>
                </w:rPr>
                <m:t>h</m:t>
              </m:r>
            </m:sub>
            <m:sup>
              <m:r>
                <w:rPr>
                  <w:rFonts w:ascii="Cambria Math" w:hAnsi="Cambria Math"/>
                  <w:color w:val="000000"/>
                </w:rPr>
                <m:t>PIT</m:t>
              </m:r>
              <m:r>
                <m:rPr>
                  <m:sty m:val="p"/>
                </m:rPr>
                <w:rPr>
                  <w:rFonts w:ascii="Cambria Math" w:hAnsi="Cambria Math"/>
                  <w:color w:val="000000"/>
                </w:rPr>
                <m:t>,</m:t>
              </m:r>
              <m:r>
                <w:rPr>
                  <w:rFonts w:ascii="Cambria Math" w:hAnsi="Cambria Math"/>
                  <w:color w:val="000000"/>
                </w:rPr>
                <m:t>ML</m:t>
              </m:r>
            </m:sup>
          </m:sSub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g</m:t>
              </m:r>
            </m:e>
            <m:sub>
              <m:r>
                <w:rPr>
                  <w:rFonts w:ascii="Cambria Math" w:hAnsi="Cambria Math"/>
                  <w:color w:val="000000"/>
                </w:rPr>
                <m:t>θ</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oMath>
      </m:oMathPara>
    </w:p>
    <w:p w14:paraId="15DF6813" w14:textId="77777777" w:rsidR="008C5D65" w:rsidRDefault="00000000">
      <w:pPr>
        <w:spacing w:after="210" w:line="360" w:lineRule="auto"/>
      </w:pPr>
      <w:r>
        <w:rPr>
          <w:rFonts w:eastAsia="Georgia" w:hAnsi="Georgia" w:cs="Georgia"/>
          <w:color w:val="000000"/>
        </w:rPr>
        <w:t xml:space="preserve">with </w:t>
      </w:r>
      <m:oMath>
        <m:sSub>
          <m:sSubPr>
            <m:ctrlPr>
              <w:rPr>
                <w:rFonts w:ascii="Cambria Math" w:hAnsi="Cambria Math"/>
                <w:color w:val="000000"/>
              </w:rPr>
            </m:ctrlPr>
          </m:sSubPr>
          <m:e>
            <m:r>
              <w:rPr>
                <w:rFonts w:ascii="Cambria Math" w:hAnsi="Cambria Math"/>
                <w:color w:val="000000"/>
              </w:rPr>
              <m:t>g</m:t>
            </m:r>
          </m:e>
          <m:sub>
            <m:r>
              <w:rPr>
                <w:rFonts w:ascii="Cambria Math" w:hAnsi="Cambria Math"/>
                <w:color w:val="000000"/>
              </w:rPr>
              <m:t>θ</m:t>
            </m:r>
          </m:sub>
        </m:sSub>
      </m:oMath>
      <w:r>
        <w:rPr>
          <w:rFonts w:eastAsia="Georgia" w:hAnsi="Georgia" w:cs="Georgia"/>
          <w:color w:val="000000"/>
        </w:rPr>
        <w:t xml:space="preserve"> learned by ML. Performance is assessed via AUC, Brier score and calibration plots against a logistic/hazard baseline.</w:t>
      </w:r>
      <w:bookmarkStart w:id="90" w:name="fnref20"/>
      <w:bookmarkEnd w:id="90"/>
      <w:r>
        <w:fldChar w:fldCharType="begin"/>
      </w:r>
      <w:r>
        <w:instrText>HYPERLINK \l "fn20" \h</w:instrText>
      </w:r>
      <w:r>
        <w:fldChar w:fldCharType="separate"/>
      </w:r>
      <w:r>
        <w:rPr>
          <w:rFonts w:ascii="Helvetica Neue" w:eastAsia="Helvetica Neue" w:hAnsi="Helvetica Neue" w:cs="Helvetica Neue"/>
          <w:u w:val="single"/>
          <w:vertAlign w:val="superscript"/>
        </w:rPr>
        <w:t>[20]</w:t>
      </w:r>
      <w:r>
        <w:fldChar w:fldCharType="end"/>
      </w:r>
      <w:bookmarkStart w:id="91" w:name="fnref17_3"/>
      <w:bookmarkEnd w:id="91"/>
      <w:r>
        <w:fldChar w:fldCharType="begin"/>
      </w:r>
      <w:r>
        <w:instrText>HYPERLINK \l "fn17" \h</w:instrText>
      </w:r>
      <w:r>
        <w:fldChar w:fldCharType="separate"/>
      </w:r>
      <w:r>
        <w:rPr>
          <w:rFonts w:ascii="Helvetica Neue" w:eastAsia="Helvetica Neue" w:hAnsi="Helvetica Neue" w:cs="Helvetica Neue"/>
          <w:u w:val="single"/>
          <w:vertAlign w:val="superscript"/>
        </w:rPr>
        <w:t>[17]</w:t>
      </w:r>
      <w:r>
        <w:fldChar w:fldCharType="end"/>
      </w:r>
      <w:bookmarkStart w:id="92" w:name="fnref18_3"/>
      <w:bookmarkEnd w:id="92"/>
      <w:r>
        <w:fldChar w:fldCharType="begin"/>
      </w:r>
      <w:r>
        <w:instrText>HYPERLINK \l "fn18" \h</w:instrText>
      </w:r>
      <w:r>
        <w:fldChar w:fldCharType="separate"/>
      </w:r>
      <w:r>
        <w:rPr>
          <w:rFonts w:ascii="Helvetica Neue" w:eastAsia="Helvetica Neue" w:hAnsi="Helvetica Neue" w:cs="Helvetica Neue"/>
          <w:u w:val="single"/>
          <w:vertAlign w:val="superscript"/>
        </w:rPr>
        <w:t>[18]</w:t>
      </w:r>
      <w:r>
        <w:fldChar w:fldCharType="end"/>
      </w:r>
    </w:p>
    <w:p w14:paraId="36A86B75" w14:textId="77777777" w:rsidR="008C5D65" w:rsidRDefault="00000000">
      <w:pPr>
        <w:spacing w:after="210" w:line="360" w:lineRule="auto"/>
      </w:pPr>
      <w:r>
        <w:rPr>
          <w:rFonts w:eastAsia="Georgia" w:hAnsi="Georgia" w:cs="Georgia"/>
          <w:color w:val="000000"/>
        </w:rPr>
        <w:t>For LGD:</w:t>
      </w:r>
    </w:p>
    <w:p w14:paraId="762F3713" w14:textId="77777777" w:rsidR="008C5D65" w:rsidRDefault="00000000">
      <w:pPr>
        <w:spacing w:after="210" w:line="360" w:lineRule="auto"/>
      </w:pPr>
      <m:oMathPara>
        <m:oMath>
          <m:r>
            <w:rPr>
              <w:rFonts w:ascii="Cambria Math" w:hAnsi="Cambria Math"/>
              <w:color w:val="000000"/>
            </w:rPr>
            <m:t>LG</m:t>
          </m:r>
          <m:sSubSup>
            <m:sSubSupPr>
              <m:ctrlPr>
                <w:rPr>
                  <w:rFonts w:ascii="Cambria Math" w:hAnsi="Cambria Math"/>
                  <w:color w:val="000000"/>
                </w:rPr>
              </m:ctrlPr>
            </m:sSubSupPr>
            <m:e>
              <m:r>
                <w:rPr>
                  <w:rFonts w:ascii="Cambria Math" w:hAnsi="Cambria Math"/>
                  <w:color w:val="000000"/>
                </w:rPr>
                <m:t>D</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up>
              <m:r>
                <w:rPr>
                  <w:rFonts w:ascii="Cambria Math" w:hAnsi="Cambria Math"/>
                  <w:color w:val="000000"/>
                </w:rPr>
                <m:t>ML</m:t>
              </m:r>
            </m:sup>
          </m:sSub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h</m:t>
              </m:r>
            </m:e>
            <m:sub>
              <m:r>
                <w:rPr>
                  <w:rFonts w:ascii="Cambria Math" w:hAnsi="Cambria Math"/>
                  <w:color w:val="000000"/>
                </w:rPr>
                <m:t>ϕ</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Z</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oMath>
      </m:oMathPara>
    </w:p>
    <w:p w14:paraId="0C60D05D" w14:textId="77777777" w:rsidR="008C5D65" w:rsidRDefault="00000000">
      <w:pPr>
        <w:spacing w:after="210" w:line="360" w:lineRule="auto"/>
      </w:pPr>
      <w:r>
        <w:rPr>
          <w:rFonts w:eastAsia="Georgia" w:hAnsi="Georgia" w:cs="Georgia"/>
          <w:color w:val="000000"/>
        </w:rPr>
        <w:t xml:space="preserve">where </w:t>
      </w:r>
      <m:oMath>
        <m:sSub>
          <m:sSubPr>
            <m:ctrlPr>
              <w:rPr>
                <w:rFonts w:ascii="Cambria Math" w:hAnsi="Cambria Math"/>
                <w:color w:val="000000"/>
              </w:rPr>
            </m:ctrlPr>
          </m:sSubPr>
          <m:e>
            <m:r>
              <w:rPr>
                <w:rFonts w:ascii="Cambria Math" w:hAnsi="Cambria Math"/>
                <w:color w:val="000000"/>
              </w:rPr>
              <m:t>Z</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oMath>
      <w:r>
        <w:rPr>
          <w:rFonts w:eastAsia="Georgia" w:hAnsi="Georgia" w:cs="Georgia"/>
          <w:color w:val="000000"/>
        </w:rPr>
        <w:t xml:space="preserve"> includes </w:t>
      </w:r>
      <m:oMath>
        <m:r>
          <w:rPr>
            <w:rFonts w:ascii="Cambria Math" w:hAnsi="Cambria Math"/>
            <w:color w:val="000000"/>
          </w:rPr>
          <m:t>LG</m:t>
        </m:r>
        <m:sSubSup>
          <m:sSubSupPr>
            <m:ctrlPr>
              <w:rPr>
                <w:rFonts w:ascii="Cambria Math" w:hAnsi="Cambria Math"/>
                <w:color w:val="000000"/>
              </w:rPr>
            </m:ctrlPr>
          </m:sSubSupPr>
          <m:e>
            <m:r>
              <w:rPr>
                <w:rFonts w:ascii="Cambria Math" w:hAnsi="Cambria Math"/>
                <w:color w:val="000000"/>
              </w:rPr>
              <m:t>D</m:t>
            </m:r>
          </m:e>
          <m:sub>
            <m:r>
              <w:rPr>
                <w:rFonts w:ascii="Cambria Math" w:hAnsi="Cambria Math"/>
                <w:color w:val="000000"/>
              </w:rPr>
              <m:t>i</m:t>
            </m:r>
          </m:sub>
          <m:sup>
            <m:r>
              <w:rPr>
                <w:rFonts w:ascii="Cambria Math" w:hAnsi="Cambria Math"/>
                <w:color w:val="000000"/>
              </w:rPr>
              <m:t>TTC</m:t>
            </m:r>
          </m:sup>
        </m:sSubSup>
      </m:oMath>
      <w:r>
        <w:rPr>
          <w:rFonts w:eastAsia="Georgia" w:hAnsi="Georgia" w:cs="Georgia"/>
          <w:color w:val="000000"/>
        </w:rPr>
        <w:t>, collateral, LTV, recovery history and macro variables. Both PD and LGD ML models are accompanied by SHAP values and partial dependence to ensure explainability and alignment with TCEL‑based risk views.</w:t>
      </w:r>
      <w:bookmarkStart w:id="93" w:name="fnref19_1"/>
      <w:bookmarkEnd w:id="93"/>
      <w:r>
        <w:fldChar w:fldCharType="begin"/>
      </w:r>
      <w:r>
        <w:instrText>HYPERLINK \l "fn19" \h</w:instrText>
      </w:r>
      <w:r>
        <w:fldChar w:fldCharType="separate"/>
      </w:r>
      <w:r>
        <w:rPr>
          <w:rFonts w:ascii="Helvetica Neue" w:eastAsia="Helvetica Neue" w:hAnsi="Helvetica Neue" w:cs="Helvetica Neue"/>
          <w:u w:val="single"/>
          <w:vertAlign w:val="superscript"/>
        </w:rPr>
        <w:t>[19]</w:t>
      </w:r>
      <w:r>
        <w:fldChar w:fldCharType="end"/>
      </w:r>
      <w:bookmarkStart w:id="94" w:name="fnref21"/>
      <w:bookmarkEnd w:id="94"/>
      <w:r>
        <w:fldChar w:fldCharType="begin"/>
      </w:r>
      <w:r>
        <w:instrText>HYPERLINK \l "fn21" \h</w:instrText>
      </w:r>
      <w:r>
        <w:fldChar w:fldCharType="separate"/>
      </w:r>
      <w:r>
        <w:rPr>
          <w:rFonts w:ascii="Helvetica Neue" w:eastAsia="Helvetica Neue" w:hAnsi="Helvetica Neue" w:cs="Helvetica Neue"/>
          <w:u w:val="single"/>
          <w:vertAlign w:val="superscript"/>
        </w:rPr>
        <w:t>[21]</w:t>
      </w:r>
      <w:r>
        <w:fldChar w:fldCharType="end"/>
      </w:r>
      <w:bookmarkStart w:id="95" w:name="fnref22"/>
      <w:bookmarkEnd w:id="95"/>
      <w:r>
        <w:fldChar w:fldCharType="begin"/>
      </w:r>
      <w:r>
        <w:instrText>HYPERLINK \l "fn22" \h</w:instrText>
      </w:r>
      <w:r>
        <w:fldChar w:fldCharType="separate"/>
      </w:r>
      <w:r>
        <w:rPr>
          <w:rFonts w:ascii="Helvetica Neue" w:eastAsia="Helvetica Neue" w:hAnsi="Helvetica Neue" w:cs="Helvetica Neue"/>
          <w:u w:val="single"/>
          <w:vertAlign w:val="superscript"/>
        </w:rPr>
        <w:t>[22]</w:t>
      </w:r>
      <w:r>
        <w:fldChar w:fldCharType="end"/>
      </w:r>
      <w:bookmarkStart w:id="96" w:name="fnref23"/>
      <w:bookmarkEnd w:id="96"/>
      <w:r>
        <w:fldChar w:fldCharType="begin"/>
      </w:r>
      <w:r>
        <w:instrText>HYPERLINK \l "fn23" \h</w:instrText>
      </w:r>
      <w:r>
        <w:fldChar w:fldCharType="separate"/>
      </w:r>
      <w:r>
        <w:rPr>
          <w:rFonts w:ascii="Helvetica Neue" w:eastAsia="Helvetica Neue" w:hAnsi="Helvetica Neue" w:cs="Helvetica Neue"/>
          <w:u w:val="single"/>
          <w:vertAlign w:val="superscript"/>
        </w:rPr>
        <w:t>[23]</w:t>
      </w:r>
      <w:r>
        <w:fldChar w:fldCharType="end"/>
      </w:r>
    </w:p>
    <w:p w14:paraId="79262805" w14:textId="77777777" w:rsidR="008C5D65" w:rsidRDefault="00000000">
      <w:pPr>
        <w:spacing w:before="315" w:after="105" w:line="360" w:lineRule="auto"/>
        <w:ind w:left="-30"/>
      </w:pPr>
      <w:bookmarkStart w:id="97" w:name="bm_5_3_ml_based_decomposition_of_ecl"/>
      <w:r>
        <w:rPr>
          <w:rFonts w:eastAsia="Georgia" w:hAnsi="Georgia" w:cs="Georgia"/>
          <w:b/>
          <w:color w:val="000000"/>
          <w:sz w:val="24"/>
        </w:rPr>
        <w:t>5.3 ML‑Based Decomposition of ECL</w:t>
      </w:r>
      <w:bookmarkEnd w:id="97"/>
    </w:p>
    <w:p w14:paraId="47DA3669" w14:textId="77777777" w:rsidR="008C5D65" w:rsidRDefault="00000000">
      <w:pPr>
        <w:spacing w:after="210" w:line="360" w:lineRule="auto"/>
      </w:pPr>
      <w:r>
        <w:rPr>
          <w:rFonts w:eastAsia="Georgia" w:hAnsi="Georgia" w:cs="Georgia"/>
          <w:color w:val="000000"/>
        </w:rPr>
        <w:t>At portfolio level, we can write:</w:t>
      </w:r>
    </w:p>
    <w:p w14:paraId="196637E2" w14:textId="77777777" w:rsidR="008C5D65" w:rsidRDefault="00000000">
      <w:pPr>
        <w:spacing w:after="210" w:line="360" w:lineRule="auto"/>
      </w:pPr>
      <m:oMathPara>
        <m:oMath>
          <m:f>
            <m:fPr>
              <m:ctrlPr>
                <w:rPr>
                  <w:rFonts w:ascii="Cambria Math" w:hAnsi="Cambria Math"/>
                  <w:color w:val="000000"/>
                </w:rPr>
              </m:ctrlPr>
            </m:fPr>
            <m:num>
              <m:r>
                <w:rPr>
                  <w:rFonts w:ascii="Cambria Math" w:hAnsi="Cambria Math"/>
                  <w:color w:val="000000"/>
                </w:rPr>
                <m:t>EC</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num>
            <m:den>
              <m:r>
                <w:rPr>
                  <w:rFonts w:ascii="Cambria Math" w:hAnsi="Cambria Math"/>
                  <w:color w:val="000000"/>
                </w:rPr>
                <m:t>EA</m:t>
              </m:r>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den>
          </m:f>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α</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β</m:t>
              </m:r>
            </m:e>
            <m:sub>
              <m:r>
                <w:rPr>
                  <w:rFonts w:ascii="Cambria Math" w:hAnsi="Cambria Math"/>
                  <w:color w:val="000000"/>
                </w:rPr>
                <m:t>TCEL</m:t>
              </m:r>
            </m:sub>
          </m:sSub>
          <m:r>
            <w:rPr>
              <w:rFonts w:ascii="Cambria Math" w:hAnsi="Cambria Math"/>
              <w:color w:val="000000"/>
            </w:rPr>
            <m:t>E</m:t>
          </m:r>
          <m:sSubSup>
            <m:sSubSupPr>
              <m:ctrlPr>
                <w:rPr>
                  <w:rFonts w:ascii="Cambria Math" w:hAnsi="Cambria Math"/>
                  <w:color w:val="000000"/>
                </w:rPr>
              </m:ctrlPr>
            </m:sSubSup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up>
              <m:r>
                <w:rPr>
                  <w:rFonts w:ascii="Cambria Math" w:hAnsi="Cambria Math"/>
                  <w:color w:val="000000"/>
                </w:rPr>
                <m:t>TCEL</m:t>
              </m:r>
            </m:sup>
          </m:sSubSup>
          <m:r>
            <m:rPr>
              <m:sty m:val="p"/>
            </m:rPr>
            <w:rPr>
              <w:rFonts w:ascii="Cambria Math" w:hAnsi="Cambria Math"/>
              <w:color w:val="000000"/>
            </w:rPr>
            <m:t>+</m:t>
          </m:r>
          <m:r>
            <w:rPr>
              <w:rFonts w:ascii="Cambria Math" w:hAnsi="Cambria Math"/>
              <w:color w:val="000000"/>
            </w:rPr>
            <m:t>M</m:t>
          </m:r>
          <m:sSubSup>
            <m:sSubSupPr>
              <m:ctrlPr>
                <w:rPr>
                  <w:rFonts w:ascii="Cambria Math" w:hAnsi="Cambria Math"/>
                  <w:color w:val="000000"/>
                </w:rPr>
              </m:ctrlPr>
            </m:sSubSup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up>
              <m:r>
                <w:rPr>
                  <w:rFonts w:ascii="Cambria Math" w:hAnsi="Cambria Math"/>
                  <w:color w:val="000000"/>
                </w:rPr>
                <m:t>ECL</m:t>
              </m:r>
            </m:sup>
          </m:sSubSup>
          <m:r>
            <m:rPr>
              <m:sty m:val="p"/>
            </m:rPr>
            <w:rPr>
              <w:rFonts w:ascii="Cambria Math" w:hAnsi="Cambria Math"/>
              <w:color w:val="000000"/>
            </w:rPr>
            <m:t>(</m:t>
          </m:r>
          <m:r>
            <w:rPr>
              <w:rFonts w:ascii="Cambria Math" w:hAnsi="Cambria Math"/>
              <w:color w:val="000000"/>
            </w:rPr>
            <m:t>Feature</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ε</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oMath>
      </m:oMathPara>
    </w:p>
    <w:p w14:paraId="017A957F" w14:textId="77777777" w:rsidR="008C5D65" w:rsidRDefault="00000000">
      <w:pPr>
        <w:spacing w:after="210" w:line="360" w:lineRule="auto"/>
      </w:pPr>
      <w:r>
        <w:rPr>
          <w:rFonts w:eastAsia="Georgia" w:hAnsi="Georgia" w:cs="Georgia"/>
          <w:color w:val="000000"/>
        </w:rPr>
        <w:t xml:space="preserve">where </w:t>
      </w:r>
      <m:oMath>
        <m:r>
          <w:rPr>
            <w:rFonts w:ascii="Cambria Math" w:hAnsi="Cambria Math"/>
            <w:color w:val="000000"/>
          </w:rPr>
          <m:t>M</m:t>
        </m:r>
        <m:sSubSup>
          <m:sSubSupPr>
            <m:ctrlPr>
              <w:rPr>
                <w:rFonts w:ascii="Cambria Math" w:hAnsi="Cambria Math"/>
                <w:color w:val="000000"/>
              </w:rPr>
            </m:ctrlPr>
          </m:sSubSupPr>
          <m:e>
            <m:r>
              <w:rPr>
                <w:rFonts w:ascii="Cambria Math" w:hAnsi="Cambria Math"/>
                <w:color w:val="000000"/>
              </w:rPr>
              <m:t>L</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t</m:t>
            </m:r>
          </m:sub>
          <m:sup>
            <m:r>
              <w:rPr>
                <w:rFonts w:ascii="Cambria Math" w:hAnsi="Cambria Math"/>
                <w:color w:val="000000"/>
              </w:rPr>
              <m:t>ECL</m:t>
            </m:r>
          </m:sup>
        </m:sSubSup>
        <m:r>
          <m:rPr>
            <m:sty m:val="p"/>
          </m:rPr>
          <w:rPr>
            <w:rFonts w:ascii="Cambria Math" w:hAnsi="Cambria Math"/>
            <w:color w:val="000000"/>
          </w:rPr>
          <m:t>(⋅)</m:t>
        </m:r>
      </m:oMath>
      <w:r>
        <w:rPr>
          <w:rFonts w:eastAsia="Georgia" w:hAnsi="Georgia" w:cs="Georgia"/>
          <w:color w:val="000000"/>
        </w:rPr>
        <w:t xml:space="preserve"> is the output of an ML model that takes as inputs macro variables, staging shares, behavioural indicators and overlay proxies. This term approximates the combined macro, staging and discretionary overlay component.</w:t>
      </w:r>
    </w:p>
    <w:p w14:paraId="56C5EC0C" w14:textId="77777777" w:rsidR="008C5D65" w:rsidRDefault="00000000">
      <w:pPr>
        <w:spacing w:after="210" w:line="360" w:lineRule="auto"/>
      </w:pPr>
      <w:r>
        <w:rPr>
          <w:rFonts w:eastAsia="Georgia" w:hAnsi="Georgia" w:cs="Georgia"/>
          <w:color w:val="000000"/>
        </w:rPr>
        <w:t>By comparing the ML‑enhanced model with simpler linear specifications, we assess:</w:t>
      </w:r>
    </w:p>
    <w:p w14:paraId="01FD6A12" w14:textId="77777777" w:rsidR="008C5D65" w:rsidRDefault="00000000">
      <w:pPr>
        <w:numPr>
          <w:ilvl w:val="0"/>
          <w:numId w:val="10"/>
        </w:numPr>
        <w:spacing w:before="105" w:after="105" w:line="360" w:lineRule="auto"/>
      </w:pPr>
      <w:r>
        <w:rPr>
          <w:rFonts w:eastAsia="Georgia" w:hAnsi="Georgia" w:cs="Georgia"/>
          <w:color w:val="000000"/>
        </w:rPr>
        <w:lastRenderedPageBreak/>
        <w:t>how much of the ECL–TCEL gap is linear vs non‑linear;</w:t>
      </w:r>
    </w:p>
    <w:p w14:paraId="71DAEE15" w14:textId="77777777" w:rsidR="008C5D65" w:rsidRDefault="00000000">
      <w:pPr>
        <w:numPr>
          <w:ilvl w:val="0"/>
          <w:numId w:val="10"/>
        </w:numPr>
        <w:spacing w:before="105" w:after="105" w:line="360" w:lineRule="auto"/>
      </w:pPr>
      <w:r>
        <w:rPr>
          <w:rFonts w:eastAsia="Georgia" w:hAnsi="Georgia" w:cs="Georgia"/>
          <w:color w:val="000000"/>
        </w:rPr>
        <w:t>which features (via SHAP) contribute most to ECL volatility;</w:t>
      </w:r>
    </w:p>
    <w:p w14:paraId="76EC88A6" w14:textId="77777777" w:rsidR="008C5D65" w:rsidRDefault="00000000">
      <w:pPr>
        <w:numPr>
          <w:ilvl w:val="0"/>
          <w:numId w:val="10"/>
        </w:numPr>
        <w:spacing w:before="105" w:after="105" w:line="360" w:lineRule="auto"/>
      </w:pPr>
      <w:r>
        <w:rPr>
          <w:rFonts w:eastAsia="Georgia" w:hAnsi="Georgia" w:cs="Georgia"/>
          <w:color w:val="000000"/>
        </w:rPr>
        <w:t>how TCEL‑consistent PD/LGD (from ML with TTC regularisation) can reduce unexplained residuals.</w:t>
      </w:r>
    </w:p>
    <w:p w14:paraId="6B434429" w14:textId="77777777" w:rsidR="008C5D65" w:rsidRDefault="00000000">
      <w:pPr>
        <w:spacing w:after="210" w:line="360" w:lineRule="auto"/>
      </w:pPr>
      <w:r>
        <w:rPr>
          <w:rFonts w:eastAsia="Georgia" w:hAnsi="Georgia" w:cs="Georgia"/>
          <w:color w:val="000000"/>
        </w:rPr>
        <w:t xml:space="preserve">This ML layer does not replace TCEL; it </w:t>
      </w:r>
      <w:r>
        <w:rPr>
          <w:rFonts w:eastAsia="Georgia" w:hAnsi="Georgia" w:cs="Georgia"/>
          <w:b/>
          <w:color w:val="000000"/>
        </w:rPr>
        <w:t>wraps around</w:t>
      </w:r>
      <w:r>
        <w:rPr>
          <w:rFonts w:eastAsia="Georgia" w:hAnsi="Georgia" w:cs="Georgia"/>
          <w:color w:val="000000"/>
        </w:rPr>
        <w:t xml:space="preserve"> it to model the overlay components in a structured way.</w:t>
      </w:r>
    </w:p>
    <w:p w14:paraId="0E9ABC7A" w14:textId="77777777" w:rsidR="008C5D65" w:rsidRDefault="00000000">
      <w:pPr>
        <w:spacing w:before="315" w:after="105" w:line="360" w:lineRule="auto"/>
        <w:ind w:left="-30"/>
      </w:pPr>
      <w:bookmarkStart w:id="98" w:name="bm_5_4_ml_and_economic_capital_raroc"/>
      <w:r>
        <w:rPr>
          <w:rFonts w:eastAsia="Georgia" w:hAnsi="Georgia" w:cs="Georgia"/>
          <w:b/>
          <w:color w:val="000000"/>
          <w:sz w:val="24"/>
        </w:rPr>
        <w:t>5.4 ML and Economic Capital / RAROC</w:t>
      </w:r>
      <w:bookmarkEnd w:id="98"/>
    </w:p>
    <w:p w14:paraId="613D573B" w14:textId="77777777" w:rsidR="008C5D65" w:rsidRDefault="00000000">
      <w:pPr>
        <w:spacing w:after="210" w:line="360" w:lineRule="auto"/>
      </w:pPr>
      <w:r>
        <w:rPr>
          <w:rFonts w:eastAsia="Georgia" w:hAnsi="Georgia" w:cs="Georgia"/>
          <w:color w:val="000000"/>
        </w:rPr>
        <w:t>We can also use ML to refine the link between EL metrics and economic capital. For example, by modelling realised losses or portfolio loss distributions as functions of TCEL, ECL and macro variables, we can test whether TCEL remains an unbiased predictor of long‑run loss when controlling for non‑linear effects.</w:t>
      </w:r>
      <w:bookmarkStart w:id="99" w:name="fnref1_3"/>
      <w:bookmarkEnd w:id="99"/>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00" w:name="fnref2_4"/>
      <w:bookmarkEnd w:id="100"/>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09485425" w14:textId="77777777" w:rsidR="008C5D65" w:rsidRDefault="00000000">
      <w:pPr>
        <w:spacing w:after="210" w:line="360" w:lineRule="auto"/>
      </w:pPr>
      <w:r>
        <w:rPr>
          <w:rFonts w:eastAsia="Georgia" w:hAnsi="Georgia" w:cs="Georgia"/>
          <w:color w:val="000000"/>
        </w:rPr>
        <w:t>In parallel, ML can help identify segments where RAROC</w:t>
      </w:r>
      <m:oMath>
        <m:sSup>
          <m:sSupPr>
            <m:ctrlPr>
              <w:rPr>
                <w:rFonts w:ascii="Cambria Math" w:hAnsi="Cambria Math"/>
                <w:color w:val="000000"/>
              </w:rPr>
            </m:ctrlPr>
          </m:sSupPr>
          <m:e/>
          <m:sup/>
        </m:sSup>
      </m:oMath>
      <w:r>
        <w:rPr>
          <w:rFonts w:eastAsia="Georgia" w:hAnsi="Georgia" w:cs="Georgia"/>
          <w:color w:val="000000"/>
        </w:rPr>
        <w:t xml:space="preserve"> systematically deviates from RAROC based on realised performance, suggesting mis‑specification in TCEL or capital models. Feature‑level explanations highlight whether discrepancies are driven by CQI, macro factors or idiosyncratic effects.</w:t>
      </w:r>
    </w:p>
    <w:p w14:paraId="36D0BD86" w14:textId="77777777" w:rsidR="008C5D65" w:rsidRDefault="00000000">
      <w:pPr>
        <w:spacing w:before="315" w:after="105" w:line="360" w:lineRule="auto"/>
        <w:ind w:left="-30"/>
      </w:pPr>
      <w:bookmarkStart w:id="101" w:name="bm_5_5_governance_and_use_constraints"/>
      <w:r>
        <w:rPr>
          <w:rFonts w:eastAsia="Georgia" w:hAnsi="Georgia" w:cs="Georgia"/>
          <w:b/>
          <w:color w:val="000000"/>
          <w:sz w:val="24"/>
        </w:rPr>
        <w:t>5.5 Governance and Use Constraints</w:t>
      </w:r>
      <w:bookmarkEnd w:id="101"/>
    </w:p>
    <w:p w14:paraId="01038C5C" w14:textId="77777777" w:rsidR="008C5D65" w:rsidRDefault="00000000">
      <w:pPr>
        <w:spacing w:after="210" w:line="360" w:lineRule="auto"/>
      </w:pPr>
      <w:r>
        <w:rPr>
          <w:rFonts w:eastAsia="Georgia" w:hAnsi="Georgia" w:cs="Georgia"/>
          <w:color w:val="000000"/>
        </w:rPr>
        <w:t xml:space="preserve">We emphasise that ML is used to improve </w:t>
      </w:r>
      <w:r>
        <w:rPr>
          <w:rFonts w:eastAsia="Georgia" w:hAnsi="Georgia" w:cs="Georgia"/>
          <w:b/>
          <w:color w:val="000000"/>
        </w:rPr>
        <w:t>prediction and decomposition</w:t>
      </w:r>
      <w:r>
        <w:rPr>
          <w:rFonts w:eastAsia="Georgia" w:hAnsi="Georgia" w:cs="Georgia"/>
          <w:color w:val="000000"/>
        </w:rPr>
        <w:t>, not to redefine TCEL or claim structural causality. In particular:</w:t>
      </w:r>
    </w:p>
    <w:p w14:paraId="002C4E43" w14:textId="77777777" w:rsidR="008C5D65" w:rsidRDefault="00000000">
      <w:pPr>
        <w:numPr>
          <w:ilvl w:val="0"/>
          <w:numId w:val="11"/>
        </w:numPr>
        <w:spacing w:before="105" w:after="105" w:line="360" w:lineRule="auto"/>
      </w:pPr>
      <w:r>
        <w:rPr>
          <w:rFonts w:eastAsia="Georgia" w:hAnsi="Georgia" w:cs="Georgia"/>
          <w:color w:val="000000"/>
        </w:rPr>
        <w:t>TCEL remains the TTC economic anchor for EVA, RAROC and capital;</w:t>
      </w:r>
    </w:p>
    <w:p w14:paraId="3EC31398" w14:textId="77777777" w:rsidR="008C5D65" w:rsidRDefault="00000000">
      <w:pPr>
        <w:numPr>
          <w:ilvl w:val="0"/>
          <w:numId w:val="11"/>
        </w:numPr>
        <w:spacing w:before="105" w:after="105" w:line="360" w:lineRule="auto"/>
      </w:pPr>
      <w:r>
        <w:rPr>
          <w:rFonts w:eastAsia="Georgia" w:hAnsi="Georgia" w:cs="Georgia"/>
          <w:color w:val="000000"/>
        </w:rPr>
        <w:t>ML‑based PD/LGD models are calibrated and regularised to remain consistent with TCEL and IRB standards;</w:t>
      </w:r>
      <w:bookmarkStart w:id="102" w:name="fnref17_4"/>
      <w:bookmarkEnd w:id="102"/>
      <w:r>
        <w:fldChar w:fldCharType="begin"/>
      </w:r>
      <w:r>
        <w:instrText>HYPERLINK \l "fn17" \h</w:instrText>
      </w:r>
      <w:r>
        <w:fldChar w:fldCharType="separate"/>
      </w:r>
      <w:r>
        <w:rPr>
          <w:rFonts w:ascii="Helvetica Neue" w:eastAsia="Helvetica Neue" w:hAnsi="Helvetica Neue" w:cs="Helvetica Neue"/>
          <w:u w:val="single"/>
          <w:vertAlign w:val="superscript"/>
        </w:rPr>
        <w:t>[17]</w:t>
      </w:r>
      <w:r>
        <w:fldChar w:fldCharType="end"/>
      </w:r>
      <w:bookmarkStart w:id="103" w:name="fnref18_4"/>
      <w:bookmarkEnd w:id="103"/>
      <w:r>
        <w:fldChar w:fldCharType="begin"/>
      </w:r>
      <w:r>
        <w:instrText>HYPERLINK \l "fn18" \h</w:instrText>
      </w:r>
      <w:r>
        <w:fldChar w:fldCharType="separate"/>
      </w:r>
      <w:r>
        <w:rPr>
          <w:rFonts w:ascii="Helvetica Neue" w:eastAsia="Helvetica Neue" w:hAnsi="Helvetica Neue" w:cs="Helvetica Neue"/>
          <w:u w:val="single"/>
          <w:vertAlign w:val="superscript"/>
        </w:rPr>
        <w:t>[18]</w:t>
      </w:r>
      <w:r>
        <w:fldChar w:fldCharType="end"/>
      </w:r>
    </w:p>
    <w:p w14:paraId="5CD3767C" w14:textId="77777777" w:rsidR="008C5D65" w:rsidRDefault="00000000">
      <w:pPr>
        <w:numPr>
          <w:ilvl w:val="0"/>
          <w:numId w:val="11"/>
        </w:numPr>
        <w:spacing w:before="105" w:after="105" w:line="360" w:lineRule="auto"/>
      </w:pPr>
      <w:r>
        <w:rPr>
          <w:rFonts w:eastAsia="Georgia" w:hAnsi="Georgia" w:cs="Georgia"/>
          <w:color w:val="000000"/>
        </w:rPr>
        <w:t>ML outputs are interpreted via explainable AI tools and subject to model risk governance in line with emerging guidance on ML in credit risk.</w:t>
      </w:r>
      <w:bookmarkStart w:id="104" w:name="fnref22_1"/>
      <w:bookmarkEnd w:id="104"/>
      <w:r>
        <w:fldChar w:fldCharType="begin"/>
      </w:r>
      <w:r>
        <w:instrText>HYPERLINK \l "fn22" \h</w:instrText>
      </w:r>
      <w:r>
        <w:fldChar w:fldCharType="separate"/>
      </w:r>
      <w:r>
        <w:rPr>
          <w:rFonts w:ascii="Helvetica Neue" w:eastAsia="Helvetica Neue" w:hAnsi="Helvetica Neue" w:cs="Helvetica Neue"/>
          <w:u w:val="single"/>
          <w:vertAlign w:val="superscript"/>
        </w:rPr>
        <w:t>[22]</w:t>
      </w:r>
      <w:r>
        <w:fldChar w:fldCharType="end"/>
      </w:r>
      <w:bookmarkStart w:id="105" w:name="fnref23_1"/>
      <w:bookmarkEnd w:id="105"/>
      <w:r>
        <w:fldChar w:fldCharType="begin"/>
      </w:r>
      <w:r>
        <w:instrText>HYPERLINK \l "fn23" \h</w:instrText>
      </w:r>
      <w:r>
        <w:fldChar w:fldCharType="separate"/>
      </w:r>
      <w:r>
        <w:rPr>
          <w:rFonts w:ascii="Helvetica Neue" w:eastAsia="Helvetica Neue" w:hAnsi="Helvetica Neue" w:cs="Helvetica Neue"/>
          <w:u w:val="single"/>
          <w:vertAlign w:val="superscript"/>
        </w:rPr>
        <w:t>[23]</w:t>
      </w:r>
      <w:r>
        <w:fldChar w:fldCharType="end"/>
      </w:r>
      <w:bookmarkStart w:id="106" w:name="fnref19_2"/>
      <w:bookmarkEnd w:id="106"/>
      <w:r>
        <w:fldChar w:fldCharType="begin"/>
      </w:r>
      <w:r>
        <w:instrText>HYPERLINK \l "fn19" \h</w:instrText>
      </w:r>
      <w:r>
        <w:fldChar w:fldCharType="separate"/>
      </w:r>
      <w:r>
        <w:rPr>
          <w:rFonts w:ascii="Helvetica Neue" w:eastAsia="Helvetica Neue" w:hAnsi="Helvetica Neue" w:cs="Helvetica Neue"/>
          <w:u w:val="single"/>
          <w:vertAlign w:val="superscript"/>
        </w:rPr>
        <w:t>[19]</w:t>
      </w:r>
      <w:r>
        <w:fldChar w:fldCharType="end"/>
      </w:r>
    </w:p>
    <w:p w14:paraId="37755355" w14:textId="77777777" w:rsidR="008C5D65" w:rsidRDefault="00000000">
      <w:pPr>
        <w:spacing w:after="210" w:line="360" w:lineRule="auto"/>
      </w:pPr>
      <w:r>
        <w:rPr>
          <w:rFonts w:eastAsia="Georgia" w:hAnsi="Georgia" w:cs="Georgia"/>
          <w:color w:val="000000"/>
        </w:rPr>
        <w:t>Within these constraints, ML‑enhanced models can deliver more accurate and granular ECL, a clearer decomposition of ECL versus TCEL, and improved alignment between expected loss metrics and economic capital.</w:t>
      </w:r>
    </w:p>
    <w:p w14:paraId="2B0AA704" w14:textId="77777777" w:rsidR="008C5D65" w:rsidRDefault="008328FE">
      <w:pPr>
        <w:spacing w:before="210" w:after="0" w:line="360" w:lineRule="auto"/>
      </w:pPr>
      <w:r>
        <w:rPr>
          <w:noProof/>
        </w:rPr>
      </w:r>
      <w:r>
        <w:rPr>
          <w:noProof/>
        </w:rPr>
        <w:pict w14:anchorId="45D23EC4">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2B614B3" w14:textId="77777777" w:rsidR="008C5D65" w:rsidRDefault="00000000">
      <w:pPr>
        <w:spacing w:before="315" w:after="105" w:line="360" w:lineRule="auto"/>
        <w:ind w:left="-30"/>
      </w:pPr>
      <w:bookmarkStart w:id="107" w:name="bm_6_risk_finance_misalignment"/>
      <w:r>
        <w:rPr>
          <w:rFonts w:eastAsia="Georgia" w:hAnsi="Georgia" w:cs="Georgia"/>
          <w:b/>
          <w:color w:val="000000"/>
          <w:sz w:val="24"/>
        </w:rPr>
        <w:t>6. Risk–Finance Misalignment</w:t>
      </w:r>
      <w:bookmarkEnd w:id="107"/>
    </w:p>
    <w:p w14:paraId="2E450579" w14:textId="77777777" w:rsidR="008C5D65" w:rsidRDefault="00000000">
      <w:pPr>
        <w:spacing w:after="210" w:line="360" w:lineRule="auto"/>
      </w:pPr>
      <w:r>
        <w:rPr>
          <w:rFonts w:eastAsia="Georgia" w:hAnsi="Georgia" w:cs="Georgia"/>
          <w:color w:val="000000"/>
        </w:rPr>
        <w:t>Using different EL metrics for different purposes naturally creates misalignment:</w:t>
      </w:r>
    </w:p>
    <w:p w14:paraId="28EFC2C2" w14:textId="77777777" w:rsidR="008C5D65" w:rsidRDefault="00000000">
      <w:pPr>
        <w:numPr>
          <w:ilvl w:val="0"/>
          <w:numId w:val="12"/>
        </w:numPr>
        <w:spacing w:before="105" w:after="105" w:line="360" w:lineRule="auto"/>
      </w:pPr>
      <w:r>
        <w:rPr>
          <w:rFonts w:eastAsia="Georgia" w:hAnsi="Georgia" w:cs="Georgia"/>
          <w:color w:val="000000"/>
        </w:rPr>
        <w:lastRenderedPageBreak/>
        <w:t>TCEL for EVA, RAROC and internal capital models,</w:t>
      </w:r>
    </w:p>
    <w:p w14:paraId="110F511D" w14:textId="77777777" w:rsidR="008C5D65" w:rsidRDefault="00000000">
      <w:pPr>
        <w:numPr>
          <w:ilvl w:val="0"/>
          <w:numId w:val="12"/>
        </w:numPr>
        <w:spacing w:before="105" w:after="105" w:line="360" w:lineRule="auto"/>
      </w:pPr>
      <w:r>
        <w:rPr>
          <w:rFonts w:eastAsia="Georgia" w:hAnsi="Georgia" w:cs="Georgia"/>
          <w:color w:val="000000"/>
        </w:rPr>
        <w:t>ECL for financial reporting and stress testing,</w:t>
      </w:r>
    </w:p>
    <w:p w14:paraId="13A787B3" w14:textId="77777777" w:rsidR="008C5D65" w:rsidRDefault="00000000">
      <w:pPr>
        <w:numPr>
          <w:ilvl w:val="0"/>
          <w:numId w:val="12"/>
        </w:numPr>
        <w:spacing w:before="105" w:after="105" w:line="360" w:lineRule="auto"/>
      </w:pPr>
      <w:r>
        <w:rPr>
          <w:rFonts w:eastAsia="Georgia" w:hAnsi="Georgia" w:cs="Georgia"/>
          <w:color w:val="000000"/>
        </w:rPr>
        <w:t>EL</w:t>
      </w:r>
      <m:oMath>
        <m:sSup>
          <m:sSupPr>
            <m:ctrlPr>
              <w:rPr>
                <w:rFonts w:ascii="Cambria Math" w:hAnsi="Cambria Math"/>
                <w:color w:val="000000"/>
              </w:rPr>
            </m:ctrlPr>
          </m:sSupPr>
          <m:e/>
          <m:sup/>
        </m:sSup>
      </m:oMath>
      <w:r>
        <w:rPr>
          <w:rFonts w:eastAsia="Georgia" w:hAnsi="Georgia" w:cs="Georgia"/>
          <w:color w:val="000000"/>
        </w:rPr>
        <w:t xml:space="preserve"> for regulatory capital and supervisory review.</w:t>
      </w:r>
    </w:p>
    <w:p w14:paraId="1D0DA06B" w14:textId="77777777" w:rsidR="008C5D65" w:rsidRDefault="00000000">
      <w:pPr>
        <w:spacing w:after="210" w:line="360" w:lineRule="auto"/>
      </w:pPr>
      <w:r>
        <w:rPr>
          <w:rFonts w:eastAsia="Georgia" w:hAnsi="Georgia" w:cs="Georgia"/>
          <w:color w:val="000000"/>
        </w:rPr>
        <w:t>We refer to this as risk–finance misalignment: the same portfolio appears differently risky depending on the lens used. This misalignment is not a modelling error but a structural consequence of coexisting economic, accounting and regulatory frameworks.</w:t>
      </w:r>
      <w:bookmarkStart w:id="108" w:name="fnref10_1"/>
      <w:bookmarkEnd w:id="108"/>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bookmarkStart w:id="109" w:name="fnref12_2"/>
      <w:bookmarkEnd w:id="109"/>
      <w:r>
        <w:fldChar w:fldCharType="begin"/>
      </w:r>
      <w:r>
        <w:instrText>HYPERLINK \l "fn12" \h</w:instrText>
      </w:r>
      <w:r>
        <w:fldChar w:fldCharType="separate"/>
      </w:r>
      <w:r>
        <w:rPr>
          <w:rFonts w:ascii="Helvetica Neue" w:eastAsia="Helvetica Neue" w:hAnsi="Helvetica Neue" w:cs="Helvetica Neue"/>
          <w:u w:val="single"/>
          <w:vertAlign w:val="superscript"/>
        </w:rPr>
        <w:t>[12]</w:t>
      </w:r>
      <w:r>
        <w:fldChar w:fldCharType="end"/>
      </w:r>
      <w:bookmarkStart w:id="110" w:name="fnref7_10"/>
      <w:bookmarkEnd w:id="110"/>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2ECFD9CD" w14:textId="77777777" w:rsidR="008C5D65" w:rsidRDefault="00000000">
      <w:pPr>
        <w:spacing w:after="210" w:line="360" w:lineRule="auto"/>
      </w:pPr>
      <w:r>
        <w:rPr>
          <w:rFonts w:eastAsia="Georgia" w:hAnsi="Georgia" w:cs="Georgia"/>
          <w:color w:val="000000"/>
        </w:rPr>
        <w:t>If unmanaged, it can lead to conflicting signals between internal KPIs and accounting results, confusion at senior management level, and challenges in communicating risk and performance to supervisors and investors. TCEL, complemented by ML‑based decompositions of ECL, provides a reference economic layer around which ECL and regulatory metrics can be reconciled through transparent bridges and decomposition analysis.</w:t>
      </w:r>
    </w:p>
    <w:p w14:paraId="76E35866" w14:textId="77777777" w:rsidR="008C5D65" w:rsidRDefault="008328FE">
      <w:pPr>
        <w:spacing w:before="210" w:after="0" w:line="360" w:lineRule="auto"/>
      </w:pPr>
      <w:r>
        <w:rPr>
          <w:noProof/>
        </w:rPr>
      </w:r>
      <w:r>
        <w:rPr>
          <w:noProof/>
        </w:rPr>
        <w:pict w14:anchorId="51BF8F71">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AC33379" w14:textId="77777777" w:rsidR="008C5D65" w:rsidRDefault="00000000">
      <w:pPr>
        <w:spacing w:before="315" w:after="105" w:line="360" w:lineRule="auto"/>
        <w:ind w:left="-30"/>
      </w:pPr>
      <w:bookmarkStart w:id="111" w:name="bm_7_numerical_illustrations"/>
      <w:r>
        <w:rPr>
          <w:rFonts w:eastAsia="Georgia" w:hAnsi="Georgia" w:cs="Georgia"/>
          <w:b/>
          <w:color w:val="000000"/>
          <w:sz w:val="24"/>
        </w:rPr>
        <w:t>7. Numerical Illustrations</w:t>
      </w:r>
      <w:bookmarkEnd w:id="111"/>
    </w:p>
    <w:p w14:paraId="7D9A6A84" w14:textId="77777777" w:rsidR="008C5D65" w:rsidRDefault="00000000">
      <w:pPr>
        <w:spacing w:after="210" w:line="360" w:lineRule="auto"/>
      </w:pPr>
      <w:r>
        <w:rPr>
          <w:rFonts w:eastAsia="Georgia" w:hAnsi="Georgia" w:cs="Georgia"/>
          <w:color w:val="000000"/>
        </w:rPr>
        <w:t>We present a simple numerical setup to highlight the comparative behaviour of TCEL, ECL and EL</w:t>
      </w:r>
      <m:oMath>
        <m:sSup>
          <m:sSupPr>
            <m:ctrlPr>
              <w:rPr>
                <w:rFonts w:ascii="Cambria Math" w:hAnsi="Cambria Math"/>
                <w:color w:val="000000"/>
              </w:rPr>
            </m:ctrlPr>
          </m:sSupPr>
          <m:e/>
          <m:sup/>
        </m:sSup>
      </m:oMath>
      <w:r>
        <w:rPr>
          <w:rFonts w:eastAsia="Georgia" w:hAnsi="Georgia" w:cs="Georgia"/>
          <w:color w:val="000000"/>
        </w:rPr>
        <w:t>. Consider three scenarios (benign, neutral, downturn) with:</w:t>
      </w:r>
    </w:p>
    <w:p w14:paraId="27F547AF" w14:textId="77777777" w:rsidR="008C5D65" w:rsidRDefault="00000000">
      <w:pPr>
        <w:numPr>
          <w:ilvl w:val="0"/>
          <w:numId w:val="13"/>
        </w:numPr>
        <w:spacing w:before="105" w:after="105" w:line="360" w:lineRule="auto"/>
      </w:pPr>
      <m:oMath>
        <m:r>
          <w:rPr>
            <w:rFonts w:ascii="Cambria Math" w:hAnsi="Cambria Math"/>
            <w:color w:val="000000"/>
          </w:rPr>
          <m:t>P</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TTC</m:t>
            </m:r>
          </m:sup>
        </m:sSup>
        <m:r>
          <m:rPr>
            <m:sty m:val="p"/>
          </m:rPr>
          <w:rPr>
            <w:rFonts w:ascii="Cambria Math" w:hAnsi="Cambria Math"/>
            <w:color w:val="000000"/>
          </w:rPr>
          <m:t>=1%</m:t>
        </m:r>
      </m:oMath>
      <w:r>
        <w:rPr>
          <w:rFonts w:eastAsia="Georgia" w:hAnsi="Georgia" w:cs="Georgia"/>
          <w:color w:val="000000"/>
        </w:rPr>
        <w:t>,</w:t>
      </w:r>
    </w:p>
    <w:p w14:paraId="07CBD6A0" w14:textId="77777777" w:rsidR="008C5D65" w:rsidRDefault="00000000">
      <w:pPr>
        <w:numPr>
          <w:ilvl w:val="0"/>
          <w:numId w:val="13"/>
        </w:numPr>
        <w:spacing w:before="105" w:after="105" w:line="360" w:lineRule="auto"/>
      </w:pPr>
      <m:oMath>
        <m:r>
          <w:rPr>
            <w:rFonts w:ascii="Cambria Math" w:hAnsi="Cambria Math"/>
            <w:color w:val="000000"/>
          </w:rPr>
          <m:t>P</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PIT</m:t>
            </m:r>
          </m:sup>
        </m:sSup>
        <m:r>
          <m:rPr>
            <m:sty m:val="p"/>
          </m:rPr>
          <w:rPr>
            <w:rFonts w:ascii="Cambria Math" w:hAnsi="Cambria Math"/>
            <w:color w:val="000000"/>
          </w:rPr>
          <m:t>∈{0.5%,1%,2%}</m:t>
        </m:r>
      </m:oMath>
      <w:r>
        <w:rPr>
          <w:rFonts w:eastAsia="Georgia" w:hAnsi="Georgia" w:cs="Georgia"/>
          <w:color w:val="000000"/>
        </w:rPr>
        <w:t>,</w:t>
      </w:r>
    </w:p>
    <w:p w14:paraId="31F567A1" w14:textId="77777777" w:rsidR="008C5D65" w:rsidRDefault="00000000">
      <w:pPr>
        <w:numPr>
          <w:ilvl w:val="0"/>
          <w:numId w:val="13"/>
        </w:numPr>
        <w:spacing w:before="105" w:after="105" w:line="360" w:lineRule="auto"/>
      </w:pPr>
      <m:oMath>
        <m:r>
          <w:rPr>
            <w:rFonts w:ascii="Cambria Math" w:hAnsi="Cambria Math"/>
            <w:color w:val="000000"/>
          </w:rPr>
          <m:t>LG</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clean</m:t>
            </m:r>
          </m:sup>
        </m:sSup>
        <m:r>
          <m:rPr>
            <m:sty m:val="p"/>
          </m:rPr>
          <w:rPr>
            <w:rFonts w:ascii="Cambria Math" w:hAnsi="Cambria Math"/>
            <w:color w:val="000000"/>
          </w:rPr>
          <m:t>=40%</m:t>
        </m:r>
      </m:oMath>
      <w:r>
        <w:rPr>
          <w:rFonts w:eastAsia="Georgia" w:hAnsi="Georgia" w:cs="Georgia"/>
          <w:color w:val="000000"/>
        </w:rPr>
        <w:t>,</w:t>
      </w:r>
    </w:p>
    <w:p w14:paraId="2E956B79" w14:textId="77777777" w:rsidR="008C5D65" w:rsidRDefault="00000000">
      <w:pPr>
        <w:numPr>
          <w:ilvl w:val="0"/>
          <w:numId w:val="13"/>
        </w:numPr>
        <w:spacing w:before="105" w:after="105" w:line="360" w:lineRule="auto"/>
      </w:pPr>
      <m:oMath>
        <m:r>
          <w:rPr>
            <w:rFonts w:ascii="Cambria Math" w:hAnsi="Cambria Math"/>
            <w:color w:val="000000"/>
          </w:rPr>
          <m:t>LG</m:t>
        </m:r>
        <m:sSup>
          <m:sSupPr>
            <m:ctrlPr>
              <w:rPr>
                <w:rFonts w:ascii="Cambria Math" w:hAnsi="Cambria Math"/>
                <w:color w:val="000000"/>
              </w:rPr>
            </m:ctrlPr>
          </m:sSupPr>
          <m:e>
            <m:r>
              <w:rPr>
                <w:rFonts w:ascii="Cambria Math" w:hAnsi="Cambria Math"/>
                <w:color w:val="000000"/>
              </w:rPr>
              <m:t>D</m:t>
            </m:r>
          </m:e>
          <m:sup>
            <m:r>
              <w:rPr>
                <w:rFonts w:ascii="Cambria Math" w:hAnsi="Cambria Math"/>
                <w:color w:val="000000"/>
              </w:rPr>
              <m:t>downturn</m:t>
            </m:r>
          </m:sup>
        </m:sSup>
        <m:r>
          <m:rPr>
            <m:sty m:val="p"/>
          </m:rPr>
          <w:rPr>
            <w:rFonts w:ascii="Cambria Math" w:hAnsi="Cambria Math"/>
            <w:color w:val="000000"/>
          </w:rPr>
          <m:t>=50%</m:t>
        </m:r>
      </m:oMath>
      <w:r>
        <w:rPr>
          <w:rFonts w:eastAsia="Georgia" w:hAnsi="Georgia" w:cs="Georgia"/>
          <w:color w:val="000000"/>
        </w:rPr>
        <w:t>,</w:t>
      </w:r>
    </w:p>
    <w:p w14:paraId="3548CE95" w14:textId="77777777" w:rsidR="008C5D65" w:rsidRDefault="00000000">
      <w:pPr>
        <w:numPr>
          <w:ilvl w:val="0"/>
          <w:numId w:val="13"/>
        </w:numPr>
        <w:spacing w:before="105" w:after="105" w:line="360" w:lineRule="auto"/>
      </w:pPr>
      <m:oMath>
        <m:r>
          <w:rPr>
            <w:rFonts w:ascii="Cambria Math" w:hAnsi="Cambria Math"/>
            <w:color w:val="000000"/>
          </w:rPr>
          <m:t>EAD</m:t>
        </m:r>
        <m:r>
          <m:rPr>
            <m:sty m:val="p"/>
          </m:rPr>
          <w:rPr>
            <w:rFonts w:ascii="Cambria Math" w:hAnsi="Cambria Math"/>
            <w:color w:val="000000"/>
          </w:rPr>
          <m:t>=100</m:t>
        </m:r>
      </m:oMath>
      <w:r>
        <w:rPr>
          <w:rFonts w:eastAsia="Georgia" w:hAnsi="Georgia" w:cs="Georgia"/>
          <w:color w:val="000000"/>
        </w:rPr>
        <w:t>.</w:t>
      </w:r>
    </w:p>
    <w:p w14:paraId="452A0ADD" w14:textId="77777777" w:rsidR="008C5D65" w:rsidRDefault="00000000">
      <w:pPr>
        <w:spacing w:after="210" w:line="360" w:lineRule="auto"/>
      </w:pPr>
      <w:r>
        <w:rPr>
          <w:rFonts w:eastAsia="Georgia" w:hAnsi="Georgia" w:cs="Georgia"/>
          <w:color w:val="000000"/>
        </w:rPr>
        <w:t>Then:</w:t>
      </w:r>
    </w:p>
    <w:p w14:paraId="78EF86DD" w14:textId="77777777" w:rsidR="008C5D65" w:rsidRDefault="00000000">
      <w:pPr>
        <w:numPr>
          <w:ilvl w:val="0"/>
          <w:numId w:val="14"/>
        </w:numPr>
        <w:spacing w:before="105" w:after="105" w:line="360" w:lineRule="auto"/>
      </w:pPr>
      <m:oMath>
        <m:r>
          <w:rPr>
            <w:rFonts w:ascii="Cambria Math" w:hAnsi="Cambria Math"/>
            <w:color w:val="000000"/>
          </w:rPr>
          <m:t>TCEL</m:t>
        </m:r>
        <m:r>
          <m:rPr>
            <m:sty m:val="p"/>
          </m:rPr>
          <w:rPr>
            <w:rFonts w:ascii="Cambria Math" w:hAnsi="Cambria Math"/>
            <w:color w:val="000000"/>
          </w:rPr>
          <m:t>=0.40</m:t>
        </m:r>
      </m:oMath>
      <w:r>
        <w:rPr>
          <w:rFonts w:eastAsia="Georgia" w:hAnsi="Georgia" w:cs="Georgia"/>
          <w:color w:val="000000"/>
        </w:rPr>
        <w:t>,</w:t>
      </w:r>
    </w:p>
    <w:p w14:paraId="1815D089" w14:textId="77777777" w:rsidR="008C5D65" w:rsidRDefault="00000000">
      <w:pPr>
        <w:numPr>
          <w:ilvl w:val="0"/>
          <w:numId w:val="14"/>
        </w:numPr>
        <w:spacing w:before="105" w:after="105" w:line="360" w:lineRule="auto"/>
      </w:pPr>
      <m:oMath>
        <m:r>
          <w:rPr>
            <w:rFonts w:ascii="Cambria Math" w:hAnsi="Cambria Math"/>
            <w:color w:val="000000"/>
          </w:rPr>
          <m:t>E</m:t>
        </m:r>
        <m:sSup>
          <m:sSupPr>
            <m:ctrlPr>
              <w:rPr>
                <w:rFonts w:ascii="Cambria Math" w:hAnsi="Cambria Math"/>
                <w:color w:val="000000"/>
              </w:rPr>
            </m:ctrlPr>
          </m:sSupPr>
          <m:e>
            <m:r>
              <w:rPr>
                <w:rFonts w:ascii="Cambria Math" w:hAnsi="Cambria Math"/>
                <w:color w:val="000000"/>
              </w:rPr>
              <m:t>L</m:t>
            </m:r>
          </m:e>
          <m:sup>
            <m:r>
              <w:rPr>
                <w:rFonts w:ascii="Cambria Math" w:hAnsi="Cambria Math"/>
                <w:color w:val="000000"/>
              </w:rPr>
              <m:t>reg</m:t>
            </m:r>
          </m:sup>
        </m:sSup>
        <m:r>
          <m:rPr>
            <m:sty m:val="p"/>
          </m:rPr>
          <w:rPr>
            <w:rFonts w:ascii="Cambria Math" w:hAnsi="Cambria Math"/>
            <w:color w:val="000000"/>
          </w:rPr>
          <m:t>=0.50</m:t>
        </m:r>
      </m:oMath>
      <w:r>
        <w:rPr>
          <w:rFonts w:eastAsia="Georgia" w:hAnsi="Georgia" w:cs="Georgia"/>
          <w:color w:val="000000"/>
        </w:rPr>
        <w:t>,</w:t>
      </w:r>
    </w:p>
    <w:p w14:paraId="17EDE22D" w14:textId="77777777" w:rsidR="008C5D65" w:rsidRDefault="00000000">
      <w:pPr>
        <w:numPr>
          <w:ilvl w:val="0"/>
          <w:numId w:val="14"/>
        </w:numPr>
        <w:spacing w:before="105" w:after="105" w:line="360" w:lineRule="auto"/>
      </w:pPr>
      <m:oMath>
        <m:r>
          <w:rPr>
            <w:rFonts w:ascii="Cambria Math" w:hAnsi="Cambria Math"/>
            <w:color w:val="000000"/>
          </w:rPr>
          <m:t>E</m:t>
        </m:r>
        <m:sSup>
          <m:sSupPr>
            <m:ctrlPr>
              <w:rPr>
                <w:rFonts w:ascii="Cambria Math" w:hAnsi="Cambria Math"/>
                <w:color w:val="000000"/>
              </w:rPr>
            </m:ctrlPr>
          </m:sSupPr>
          <m:e>
            <m:r>
              <w:rPr>
                <w:rFonts w:ascii="Cambria Math" w:hAnsi="Cambria Math"/>
                <w:color w:val="000000"/>
              </w:rPr>
              <m:t>L</m:t>
            </m:r>
          </m:e>
          <m:sup>
            <m:r>
              <w:rPr>
                <w:rFonts w:ascii="Cambria Math" w:hAnsi="Cambria Math"/>
                <w:color w:val="000000"/>
              </w:rPr>
              <m:t>ECL</m:t>
            </m:r>
          </m:sup>
        </m:sSup>
        <m:r>
          <m:rPr>
            <m:sty m:val="p"/>
          </m:rPr>
          <w:rPr>
            <w:rFonts w:ascii="Cambria Math" w:hAnsi="Cambria Math"/>
            <w:color w:val="000000"/>
          </w:rPr>
          <m:t>∈{0.20,0.40,0.80}</m:t>
        </m:r>
      </m:oMath>
      <w:r>
        <w:rPr>
          <w:rFonts w:eastAsia="Georgia" w:hAnsi="Georgia" w:cs="Georgia"/>
          <w:color w:val="000000"/>
        </w:rPr>
        <w:t xml:space="preserve"> depending on scenario.</w:t>
      </w:r>
    </w:p>
    <w:p w14:paraId="1C0A99FD" w14:textId="77777777" w:rsidR="008C5D65" w:rsidRDefault="00000000">
      <w:pPr>
        <w:spacing w:after="210" w:line="360" w:lineRule="auto"/>
      </w:pPr>
      <w:r>
        <w:rPr>
          <w:rFonts w:eastAsia="Georgia" w:hAnsi="Georgia" w:cs="Georgia"/>
          <w:color w:val="000000"/>
        </w:rPr>
        <w:t>EVA and RAROC computed with TCEL are smoother and more comparable across scenarios than those computed with ECL, which swing widely with macro conditions. These patterns mirror the empirical results.</w:t>
      </w:r>
    </w:p>
    <w:p w14:paraId="5DC236E1" w14:textId="77777777" w:rsidR="008C5D65" w:rsidRDefault="008328FE">
      <w:pPr>
        <w:spacing w:before="210" w:after="0" w:line="360" w:lineRule="auto"/>
      </w:pPr>
      <w:r>
        <w:rPr>
          <w:noProof/>
        </w:rPr>
      </w:r>
      <w:r>
        <w:rPr>
          <w:noProof/>
        </w:rPr>
        <w:pict w14:anchorId="7BBC4156">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EC049E0" w14:textId="77777777" w:rsidR="008C5D65" w:rsidRDefault="00000000">
      <w:pPr>
        <w:spacing w:before="315" w:after="105" w:line="360" w:lineRule="auto"/>
        <w:ind w:left="-30"/>
      </w:pPr>
      <w:bookmarkStart w:id="112" w:name="bm_8_managerial_implications_and_2dba07"/>
      <w:r>
        <w:rPr>
          <w:rFonts w:eastAsia="Georgia" w:hAnsi="Georgia" w:cs="Georgia"/>
          <w:b/>
          <w:color w:val="000000"/>
          <w:sz w:val="24"/>
        </w:rPr>
        <w:lastRenderedPageBreak/>
        <w:t>8. Managerial Implications and Best Practice</w:t>
      </w:r>
      <w:bookmarkEnd w:id="112"/>
    </w:p>
    <w:p w14:paraId="31DF050C" w14:textId="77777777" w:rsidR="008C5D65" w:rsidRDefault="00000000">
      <w:pPr>
        <w:spacing w:after="210" w:line="360" w:lineRule="auto"/>
      </w:pPr>
      <w:r>
        <w:rPr>
          <w:rFonts w:eastAsia="Georgia" w:hAnsi="Georgia" w:cs="Georgia"/>
          <w:color w:val="000000"/>
        </w:rPr>
        <w:t>The analysis suggests:</w:t>
      </w:r>
    </w:p>
    <w:p w14:paraId="53D15BC6" w14:textId="77777777" w:rsidR="008C5D65" w:rsidRDefault="00000000">
      <w:pPr>
        <w:numPr>
          <w:ilvl w:val="0"/>
          <w:numId w:val="15"/>
        </w:numPr>
        <w:spacing w:before="105" w:after="105" w:line="360" w:lineRule="auto"/>
      </w:pPr>
      <w:r>
        <w:rPr>
          <w:rFonts w:eastAsia="Georgia" w:hAnsi="Georgia" w:cs="Georgia"/>
          <w:color w:val="000000"/>
        </w:rPr>
        <w:t>TCEL is not sufficient alone for pricing, but is a robust baseline to which PIT/macro overlays can be added.</w:t>
      </w:r>
    </w:p>
    <w:p w14:paraId="21BAA089" w14:textId="77777777" w:rsidR="008C5D65" w:rsidRDefault="00000000">
      <w:pPr>
        <w:numPr>
          <w:ilvl w:val="0"/>
          <w:numId w:val="15"/>
        </w:numPr>
        <w:spacing w:before="105" w:after="105" w:line="360" w:lineRule="auto"/>
      </w:pPr>
      <w:r>
        <w:rPr>
          <w:rFonts w:eastAsia="Georgia" w:hAnsi="Georgia" w:cs="Georgia"/>
          <w:color w:val="000000"/>
        </w:rPr>
        <w:t>For EVA, economic capital and RAROC, TCEL is close to best practice, especially when combined with TTC‑consistent capital models.</w:t>
      </w:r>
      <w:bookmarkStart w:id="113" w:name="fnref14_1"/>
      <w:bookmarkEnd w:id="113"/>
      <w:r>
        <w:fldChar w:fldCharType="begin"/>
      </w:r>
      <w:r>
        <w:instrText>HYPERLINK \l "fn14" \h</w:instrText>
      </w:r>
      <w:r>
        <w:fldChar w:fldCharType="separate"/>
      </w:r>
      <w:r>
        <w:rPr>
          <w:rFonts w:ascii="Helvetica Neue" w:eastAsia="Helvetica Neue" w:hAnsi="Helvetica Neue" w:cs="Helvetica Neue"/>
          <w:u w:val="single"/>
          <w:vertAlign w:val="superscript"/>
        </w:rPr>
        <w:t>[14]</w:t>
      </w:r>
      <w:r>
        <w:fldChar w:fldCharType="end"/>
      </w:r>
      <w:bookmarkStart w:id="114" w:name="fnref1_4"/>
      <w:bookmarkEnd w:id="114"/>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0FAD66F0" w14:textId="77777777" w:rsidR="008C5D65" w:rsidRDefault="00000000">
      <w:pPr>
        <w:numPr>
          <w:ilvl w:val="0"/>
          <w:numId w:val="15"/>
        </w:numPr>
        <w:spacing w:before="105" w:after="105" w:line="360" w:lineRule="auto"/>
      </w:pPr>
      <w:r>
        <w:rPr>
          <w:rFonts w:eastAsia="Georgia" w:hAnsi="Georgia" w:cs="Georgia"/>
          <w:color w:val="000000"/>
        </w:rPr>
        <w:t>IFRS 9 ECL remains essential for provisioning and supervisory dialogue but should not be the primary driver of internal performance metrics, given its volatility and procyclicality.</w:t>
      </w:r>
      <w:bookmarkStart w:id="115" w:name="fnref7_11"/>
      <w:bookmarkEnd w:id="115"/>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116" w:name="fnref8_7"/>
      <w:bookmarkEnd w:id="116"/>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117" w:name="fnref9_7"/>
      <w:bookmarkEnd w:id="117"/>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0A52BD63" w14:textId="77777777" w:rsidR="008C5D65" w:rsidRDefault="00000000">
      <w:pPr>
        <w:numPr>
          <w:ilvl w:val="0"/>
          <w:numId w:val="15"/>
        </w:numPr>
        <w:spacing w:before="105" w:after="105" w:line="360" w:lineRule="auto"/>
      </w:pPr>
      <w:r>
        <w:rPr>
          <w:rFonts w:eastAsia="Georgia" w:hAnsi="Georgia" w:cs="Georgia"/>
          <w:color w:val="000000"/>
        </w:rPr>
        <w:t>ML can enhance the framework by improving PD/LGD estimation, clarifying the ECL–TCEL gap, and supporting more granular risk‑adjusted performance analysis, subject to strong governance.</w:t>
      </w:r>
    </w:p>
    <w:p w14:paraId="23383B49" w14:textId="77777777" w:rsidR="008C5D65" w:rsidRDefault="008328FE">
      <w:pPr>
        <w:spacing w:before="210" w:after="0" w:line="360" w:lineRule="auto"/>
      </w:pPr>
      <w:r>
        <w:rPr>
          <w:noProof/>
        </w:rPr>
      </w:r>
      <w:r>
        <w:rPr>
          <w:noProof/>
        </w:rPr>
        <w:pict w14:anchorId="53FB554D">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F471B76" w14:textId="77777777" w:rsidR="008C5D65" w:rsidRDefault="00000000">
      <w:pPr>
        <w:spacing w:before="315" w:after="105" w:line="360" w:lineRule="auto"/>
        <w:ind w:left="-30"/>
      </w:pPr>
      <w:bookmarkStart w:id="118" w:name="bm_9_conclusion"/>
      <w:r>
        <w:rPr>
          <w:rFonts w:eastAsia="Georgia" w:hAnsi="Georgia" w:cs="Georgia"/>
          <w:b/>
          <w:color w:val="000000"/>
          <w:sz w:val="24"/>
        </w:rPr>
        <w:t>9. Conclusion</w:t>
      </w:r>
      <w:bookmarkEnd w:id="118"/>
    </w:p>
    <w:p w14:paraId="25F563B2" w14:textId="77777777" w:rsidR="008C5D65" w:rsidRDefault="00000000">
      <w:pPr>
        <w:spacing w:after="210" w:line="360" w:lineRule="auto"/>
      </w:pPr>
      <w:r>
        <w:rPr>
          <w:rFonts w:eastAsia="Georgia" w:hAnsi="Georgia" w:cs="Georgia"/>
          <w:color w:val="000000"/>
        </w:rPr>
        <w:t>This paper has argued that TTC Clean Expected Loss (TCEL) provides a conceptually sound and operationally useful representation of expected credit risk for internal management purposes. By deriving TCEL from TTC IRB parameters and removing prudential add‑ons, banks obtain a measure of expected loss that is both economically interpretable and structurally aligned with economic capital models.</w:t>
      </w:r>
    </w:p>
    <w:p w14:paraId="51FE77BC" w14:textId="77777777" w:rsidR="008C5D65" w:rsidRDefault="00000000">
      <w:pPr>
        <w:spacing w:after="210" w:line="360" w:lineRule="auto"/>
      </w:pPr>
      <w:r>
        <w:rPr>
          <w:rFonts w:eastAsia="Georgia" w:hAnsi="Georgia" w:cs="Georgia"/>
          <w:color w:val="000000"/>
        </w:rPr>
        <w:t>We have shown, both conceptually and empirically, that TCEL is particularly well suited for EVA, economic capital and RAROC, where stability and TTC consistency are crucial, while IFRS 9 ECL is better interpreted as a forward‑looking accounting overlay. At the same time, TCEL is incomplete for pricing when used alone, as it fails to incorporate the scenario‑dependent aspects of risk captured by ECL. The most effective approach is hybrid: TCEL as the economic baseline, augmented by transparent PIT/macro overlays in pricing and by ML‑based decompositions that relate ECL to TCEL and CQI.</w:t>
      </w:r>
      <w:bookmarkStart w:id="119" w:name="fnref1_5"/>
      <w:bookmarkEnd w:id="119"/>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20" w:name="fnref2_5"/>
      <w:bookmarkEnd w:id="120"/>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121" w:name="fnref9_8"/>
      <w:bookmarkEnd w:id="121"/>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122" w:name="fnref7_12"/>
      <w:bookmarkEnd w:id="122"/>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2A44397F" w14:textId="77777777" w:rsidR="008C5D65" w:rsidRDefault="00000000">
      <w:pPr>
        <w:spacing w:after="210" w:line="360" w:lineRule="auto"/>
      </w:pPr>
      <w:r>
        <w:rPr>
          <w:rFonts w:eastAsia="Georgia" w:hAnsi="Georgia" w:cs="Georgia"/>
          <w:color w:val="000000"/>
        </w:rPr>
        <w:t>In this perspective, TCEL is not a competitor to IFRS 9 ECL or prudential metrics, but the economic anchor of an integrated, ML‑enhanced risk–finance framework. Future work could extend this analysis by implementing and back‑testing TCEL‑centric, ML‑enhanced models on multi‑bank datasets and by studying how digital credit processes and new data sources further affect the balance between TTC and PIT views of credit risk.</w:t>
      </w:r>
    </w:p>
    <w:p w14:paraId="165E7A95" w14:textId="77777777" w:rsidR="008C5D65" w:rsidRDefault="00000000">
      <w:pPr>
        <w:spacing w:line="360" w:lineRule="auto"/>
      </w:pPr>
      <w:r>
        <w:rPr>
          <w:rFonts w:eastAsia="Georgia" w:hAnsi="Georgia" w:cs="Georgia"/>
          <w:color w:val="000000"/>
        </w:rPr>
        <w:lastRenderedPageBreak/>
        <w:t>⁂</w:t>
      </w:r>
    </w:p>
    <w:p w14:paraId="41915782" w14:textId="77777777" w:rsidR="008C5D65" w:rsidRDefault="008328FE">
      <w:pPr>
        <w:spacing w:before="210" w:after="0" w:line="360" w:lineRule="auto"/>
      </w:pPr>
      <w:r>
        <w:rPr>
          <w:noProof/>
        </w:rPr>
      </w:r>
      <w:r>
        <w:rPr>
          <w:noProof/>
        </w:rPr>
        <w:pict w14:anchorId="6140001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123" w:name="fn1"/>
    <w:bookmarkEnd w:id="123"/>
    <w:p w14:paraId="7FD6E499" w14:textId="77777777" w:rsidR="008C5D65" w:rsidRDefault="00000000">
      <w:pPr>
        <w:numPr>
          <w:ilvl w:val="0"/>
          <w:numId w:val="17"/>
        </w:numPr>
        <w:spacing w:after="210" w:line="360" w:lineRule="auto"/>
      </w:pPr>
      <w:r>
        <w:fldChar w:fldCharType="begin"/>
      </w:r>
      <w:r>
        <w:instrText>HYPERLINK "https://www.mckinsey.com/~/media/mckinsey/dotcom/client_service/risk/working%20papers/24_the_use_of_economic_capital.ashx" \h</w:instrText>
      </w:r>
      <w:r>
        <w:fldChar w:fldCharType="separate"/>
      </w:r>
      <w:r>
        <w:rPr>
          <w:rFonts w:ascii="Helvetica Neue" w:eastAsia="Helvetica Neue" w:hAnsi="Helvetica Neue" w:cs="Helvetica Neue"/>
          <w:sz w:val="18"/>
          <w:u w:val="single"/>
        </w:rPr>
        <w:t>https://www.mckinsey.com/~/media/mckinsey/dotcom/client_service/risk/working papers/24_the_use_of_economic_capital.ashx</w:t>
      </w:r>
      <w:r>
        <w:fldChar w:fldCharType="end"/>
      </w:r>
      <w:r>
        <w:rPr>
          <w:rFonts w:eastAsia="Georgia" w:hAnsi="Georgia" w:cs="Georgia"/>
          <w:color w:val="000000"/>
          <w:sz w:val="18"/>
        </w:rPr>
        <w:t xml:space="preserve">      </w:t>
      </w:r>
    </w:p>
    <w:bookmarkStart w:id="124" w:name="fn2"/>
    <w:bookmarkEnd w:id="124"/>
    <w:p w14:paraId="720CC1A2" w14:textId="77777777" w:rsidR="008C5D65" w:rsidRDefault="00000000">
      <w:pPr>
        <w:numPr>
          <w:ilvl w:val="0"/>
          <w:numId w:val="17"/>
        </w:numPr>
        <w:spacing w:after="210" w:line="360" w:lineRule="auto"/>
      </w:pPr>
      <w:r>
        <w:fldChar w:fldCharType="begin"/>
      </w:r>
      <w:r>
        <w:instrText>HYPERLINK "https://www.bis.org/publ/bcbs152.pdf" \h</w:instrText>
      </w:r>
      <w:r>
        <w:fldChar w:fldCharType="separate"/>
      </w:r>
      <w:r>
        <w:rPr>
          <w:rFonts w:ascii="Helvetica Neue" w:eastAsia="Helvetica Neue" w:hAnsi="Helvetica Neue" w:cs="Helvetica Neue"/>
          <w:sz w:val="18"/>
          <w:u w:val="single"/>
        </w:rPr>
        <w:t>https://www.bis.org/publ/bcbs152.pdf</w:t>
      </w:r>
      <w:r>
        <w:fldChar w:fldCharType="end"/>
      </w:r>
      <w:r>
        <w:rPr>
          <w:rFonts w:eastAsia="Georgia" w:hAnsi="Georgia" w:cs="Georgia"/>
          <w:color w:val="000000"/>
          <w:sz w:val="18"/>
        </w:rPr>
        <w:t xml:space="preserve">      </w:t>
      </w:r>
    </w:p>
    <w:bookmarkStart w:id="125" w:name="fn3"/>
    <w:bookmarkEnd w:id="125"/>
    <w:p w14:paraId="6E6D4E06" w14:textId="77777777" w:rsidR="008C5D65" w:rsidRDefault="00000000">
      <w:pPr>
        <w:numPr>
          <w:ilvl w:val="0"/>
          <w:numId w:val="17"/>
        </w:numPr>
        <w:spacing w:after="210" w:line="360" w:lineRule="auto"/>
      </w:pPr>
      <w:r>
        <w:fldChar w:fldCharType="begin"/>
      </w:r>
      <w:r>
        <w:instrText>HYPERLINK "https://www.bis.org/bcbs/irbriskweight.pdf" \h</w:instrText>
      </w:r>
      <w:r>
        <w:fldChar w:fldCharType="separate"/>
      </w:r>
      <w:r>
        <w:rPr>
          <w:rFonts w:ascii="Helvetica Neue" w:eastAsia="Helvetica Neue" w:hAnsi="Helvetica Neue" w:cs="Helvetica Neue"/>
          <w:sz w:val="18"/>
          <w:u w:val="single"/>
        </w:rPr>
        <w:t>https://www.bis.org/bcbs/irbriskweight.pdf</w:t>
      </w:r>
      <w:r>
        <w:fldChar w:fldCharType="end"/>
      </w:r>
      <w:r>
        <w:rPr>
          <w:rFonts w:eastAsia="Georgia" w:hAnsi="Georgia" w:cs="Georgia"/>
          <w:color w:val="000000"/>
          <w:sz w:val="18"/>
        </w:rPr>
        <w:t xml:space="preserve">         </w:t>
      </w:r>
    </w:p>
    <w:bookmarkStart w:id="126" w:name="fn4"/>
    <w:bookmarkEnd w:id="126"/>
    <w:p w14:paraId="725724DA" w14:textId="77777777" w:rsidR="008C5D65" w:rsidRDefault="00000000">
      <w:pPr>
        <w:numPr>
          <w:ilvl w:val="0"/>
          <w:numId w:val="17"/>
        </w:numPr>
        <w:spacing w:after="210" w:line="360" w:lineRule="auto"/>
      </w:pPr>
      <w:r>
        <w:fldChar w:fldCharType="begin"/>
      </w:r>
      <w:r>
        <w:instrText>HYPERLINK "https://www.sas.com/en_nz/insights/articles/risk-fraud/understanding-capital-requirements-in-light-of-basel-iv.html" \h</w:instrText>
      </w:r>
      <w:r>
        <w:fldChar w:fldCharType="separate"/>
      </w:r>
      <w:r>
        <w:rPr>
          <w:rFonts w:ascii="Helvetica Neue" w:eastAsia="Helvetica Neue" w:hAnsi="Helvetica Neue" w:cs="Helvetica Neue"/>
          <w:sz w:val="18"/>
          <w:u w:val="single"/>
        </w:rPr>
        <w:t>https://www.sas.com/en_nz/insights/articles/risk-fraud/understanding-capital-requirements-in-light-of-basel-iv.html</w:t>
      </w:r>
      <w:r>
        <w:fldChar w:fldCharType="end"/>
      </w:r>
      <w:r>
        <w:rPr>
          <w:rFonts w:eastAsia="Georgia" w:hAnsi="Georgia" w:cs="Georgia"/>
          <w:color w:val="000000"/>
          <w:sz w:val="18"/>
        </w:rPr>
        <w:t xml:space="preserve">  </w:t>
      </w:r>
    </w:p>
    <w:bookmarkStart w:id="127" w:name="fn5"/>
    <w:bookmarkEnd w:id="127"/>
    <w:p w14:paraId="142DB5F6" w14:textId="77777777" w:rsidR="008C5D65" w:rsidRDefault="00000000">
      <w:pPr>
        <w:numPr>
          <w:ilvl w:val="0"/>
          <w:numId w:val="17"/>
        </w:numPr>
        <w:spacing w:after="210" w:line="360" w:lineRule="auto"/>
      </w:pPr>
      <w:r>
        <w:fldChar w:fldCharType="begin"/>
      </w:r>
      <w:r>
        <w:instrText>HYPERLINK "https://www.bis.org/fsi/fsisummaries/ifrs9.pdf" \h</w:instrText>
      </w:r>
      <w:r>
        <w:fldChar w:fldCharType="separate"/>
      </w:r>
      <w:r>
        <w:rPr>
          <w:rFonts w:ascii="Helvetica Neue" w:eastAsia="Helvetica Neue" w:hAnsi="Helvetica Neue" w:cs="Helvetica Neue"/>
          <w:sz w:val="18"/>
          <w:u w:val="single"/>
        </w:rPr>
        <w:t>https://www.bis.org/fsi/fsisummaries/ifrs9.pdf</w:t>
      </w:r>
      <w:r>
        <w:fldChar w:fldCharType="end"/>
      </w:r>
      <w:r>
        <w:rPr>
          <w:rFonts w:eastAsia="Georgia" w:hAnsi="Georgia" w:cs="Georgia"/>
          <w:color w:val="000000"/>
          <w:sz w:val="18"/>
        </w:rPr>
        <w:t xml:space="preserve">       </w:t>
      </w:r>
    </w:p>
    <w:bookmarkStart w:id="128" w:name="fn6"/>
    <w:bookmarkEnd w:id="128"/>
    <w:p w14:paraId="38AA4E19" w14:textId="77777777" w:rsidR="008C5D65" w:rsidRDefault="00000000">
      <w:pPr>
        <w:numPr>
          <w:ilvl w:val="0"/>
          <w:numId w:val="17"/>
        </w:numPr>
        <w:spacing w:after="210" w:line="360" w:lineRule="auto"/>
      </w:pPr>
      <w:r>
        <w:fldChar w:fldCharType="begin"/>
      </w:r>
      <w:r>
        <w:instrText>HYPERLINK "https://documents1.worldbank.org/curated/en/700511616757978211/pdf/Accounting-Provisioning-Under-the-Expected-Credit-Loss-Framework-IFRS-9-in-Emerging-Markets-and-Developing-Economies-A-Set-of-Policy-Recommendations.pdf" \h</w:instrText>
      </w:r>
      <w:r>
        <w:fldChar w:fldCharType="separate"/>
      </w:r>
      <w:r>
        <w:rPr>
          <w:rFonts w:ascii="Helvetica Neue" w:eastAsia="Helvetica Neue" w:hAnsi="Helvetica Neue" w:cs="Helvetica Neue"/>
          <w:sz w:val="18"/>
          <w:u w:val="single"/>
        </w:rPr>
        <w:t>https://documents1.worldbank.org/curated/en/700511616757978211/pdf/Accounting-Provisioning-Under-the-Expected-Credit-Loss-Framework-IFRS-9-in-Emerging-Markets-and-Developing-Economies-A-Set-of-Policy-Recommendations.pdf</w:t>
      </w:r>
      <w:r>
        <w:fldChar w:fldCharType="end"/>
      </w:r>
      <w:r>
        <w:rPr>
          <w:rFonts w:eastAsia="Georgia" w:hAnsi="Georgia" w:cs="Georgia"/>
          <w:color w:val="000000"/>
          <w:sz w:val="18"/>
        </w:rPr>
        <w:t xml:space="preserve">      </w:t>
      </w:r>
    </w:p>
    <w:bookmarkStart w:id="129" w:name="fn7"/>
    <w:bookmarkEnd w:id="129"/>
    <w:p w14:paraId="7882E39B" w14:textId="77777777" w:rsidR="008C5D65" w:rsidRDefault="00000000">
      <w:pPr>
        <w:numPr>
          <w:ilvl w:val="0"/>
          <w:numId w:val="17"/>
        </w:numPr>
        <w:spacing w:after="210" w:line="360" w:lineRule="auto"/>
      </w:pPr>
      <w:r>
        <w:fldChar w:fldCharType="begin"/>
      </w:r>
      <w:r>
        <w:instrText>HYPERLINK "https://www.bis.org/bcbs/publ/wp39.htm" \h</w:instrText>
      </w:r>
      <w:r>
        <w:fldChar w:fldCharType="separate"/>
      </w:r>
      <w:r>
        <w:rPr>
          <w:rFonts w:ascii="Helvetica Neue" w:eastAsia="Helvetica Neue" w:hAnsi="Helvetica Neue" w:cs="Helvetica Neue"/>
          <w:sz w:val="18"/>
          <w:u w:val="single"/>
        </w:rPr>
        <w:t>https://www.bis.org/bcbs/publ/wp39.htm</w:t>
      </w:r>
      <w:r>
        <w:fldChar w:fldCharType="end"/>
      </w:r>
      <w:r>
        <w:rPr>
          <w:rFonts w:eastAsia="Georgia" w:hAnsi="Georgia" w:cs="Georgia"/>
          <w:color w:val="000000"/>
          <w:sz w:val="18"/>
        </w:rPr>
        <w:t xml:space="preserve">             </w:t>
      </w:r>
    </w:p>
    <w:bookmarkStart w:id="130" w:name="fn8"/>
    <w:bookmarkEnd w:id="130"/>
    <w:p w14:paraId="506298EF" w14:textId="77777777" w:rsidR="008C5D65" w:rsidRDefault="00000000">
      <w:pPr>
        <w:numPr>
          <w:ilvl w:val="0"/>
          <w:numId w:val="17"/>
        </w:numPr>
        <w:spacing w:after="210" w:line="360" w:lineRule="auto"/>
      </w:pPr>
      <w:r>
        <w:fldChar w:fldCharType="begin"/>
      </w:r>
      <w:r>
        <w:instrText>HYPERLINK "https://onlinelibrary.wiley.com/doi/10.1002/jcaf.22669" \h</w:instrText>
      </w:r>
      <w:r>
        <w:fldChar w:fldCharType="separate"/>
      </w:r>
      <w:r>
        <w:rPr>
          <w:rFonts w:ascii="Helvetica Neue" w:eastAsia="Helvetica Neue" w:hAnsi="Helvetica Neue" w:cs="Helvetica Neue"/>
          <w:sz w:val="18"/>
          <w:u w:val="single"/>
        </w:rPr>
        <w:t>https://onlinelibrary.wiley.com/doi/10.1002/jcaf.22669</w:t>
      </w:r>
      <w:r>
        <w:fldChar w:fldCharType="end"/>
      </w:r>
      <w:r>
        <w:rPr>
          <w:rFonts w:eastAsia="Georgia" w:hAnsi="Georgia" w:cs="Georgia"/>
          <w:color w:val="000000"/>
          <w:sz w:val="18"/>
        </w:rPr>
        <w:t xml:space="preserve">        </w:t>
      </w:r>
    </w:p>
    <w:bookmarkStart w:id="131" w:name="fn9"/>
    <w:bookmarkEnd w:id="131"/>
    <w:p w14:paraId="7191EAC1" w14:textId="77777777" w:rsidR="008C5D65" w:rsidRDefault="00000000">
      <w:pPr>
        <w:numPr>
          <w:ilvl w:val="0"/>
          <w:numId w:val="17"/>
        </w:numPr>
        <w:spacing w:after="210" w:line="360" w:lineRule="auto"/>
      </w:pPr>
      <w:r>
        <w:fldChar w:fldCharType="begin"/>
      </w:r>
      <w:r>
        <w:instrText>HYPERLINK "https://www.ecb.europa.eu/pub/pdf/scpwps/ecb.wp2347~35d0728499.en.pdf" \h</w:instrText>
      </w:r>
      <w:r>
        <w:fldChar w:fldCharType="separate"/>
      </w:r>
      <w:r>
        <w:rPr>
          <w:rFonts w:ascii="Helvetica Neue" w:eastAsia="Helvetica Neue" w:hAnsi="Helvetica Neue" w:cs="Helvetica Neue"/>
          <w:sz w:val="18"/>
          <w:u w:val="single"/>
        </w:rPr>
        <w:t>https://www.ecb.europa.eu/pub/pdf/scpwps/ecb.wp2347~35d0728499.en.pdf</w:t>
      </w:r>
      <w:r>
        <w:fldChar w:fldCharType="end"/>
      </w:r>
      <w:r>
        <w:rPr>
          <w:rFonts w:eastAsia="Georgia" w:hAnsi="Georgia" w:cs="Georgia"/>
          <w:color w:val="000000"/>
          <w:sz w:val="18"/>
        </w:rPr>
        <w:t xml:space="preserve">         </w:t>
      </w:r>
    </w:p>
    <w:bookmarkStart w:id="132" w:name="fn10"/>
    <w:bookmarkEnd w:id="132"/>
    <w:p w14:paraId="05E7D777" w14:textId="77777777" w:rsidR="008C5D65" w:rsidRDefault="00000000">
      <w:pPr>
        <w:numPr>
          <w:ilvl w:val="0"/>
          <w:numId w:val="17"/>
        </w:numPr>
        <w:spacing w:after="210" w:line="360" w:lineRule="auto"/>
      </w:pPr>
      <w:r>
        <w:fldChar w:fldCharType="begin"/>
      </w:r>
      <w:r>
        <w:instrText>HYPERLINK "https://www.garp.org/risk-intelligence/credit/cecl-ifrs-9-problem-240223" \h</w:instrText>
      </w:r>
      <w:r>
        <w:fldChar w:fldCharType="separate"/>
      </w:r>
      <w:r>
        <w:rPr>
          <w:rFonts w:ascii="Helvetica Neue" w:eastAsia="Helvetica Neue" w:hAnsi="Helvetica Neue" w:cs="Helvetica Neue"/>
          <w:sz w:val="18"/>
          <w:u w:val="single"/>
        </w:rPr>
        <w:t>https://www.garp.org/risk-intelligence/credit/cecl-ifrs-9-problem-240223</w:t>
      </w:r>
      <w:r>
        <w:fldChar w:fldCharType="end"/>
      </w:r>
      <w:r>
        <w:rPr>
          <w:rFonts w:eastAsia="Georgia" w:hAnsi="Georgia" w:cs="Georgia"/>
          <w:color w:val="000000"/>
          <w:sz w:val="18"/>
        </w:rPr>
        <w:t xml:space="preserve">  </w:t>
      </w:r>
    </w:p>
    <w:bookmarkStart w:id="133" w:name="fn11"/>
    <w:bookmarkEnd w:id="133"/>
    <w:p w14:paraId="2A41B2B2" w14:textId="77777777" w:rsidR="008C5D65" w:rsidRDefault="00000000">
      <w:pPr>
        <w:numPr>
          <w:ilvl w:val="0"/>
          <w:numId w:val="17"/>
        </w:numPr>
        <w:spacing w:after="210" w:line="360" w:lineRule="auto"/>
      </w:pPr>
      <w:r>
        <w:fldChar w:fldCharType="begin"/>
      </w:r>
      <w:r>
        <w:instrText>HYPERLINK "https://www.riksbank.se/globalassets/media/rapporter/ekonomiska-kommentarer/engelska/2018/ifrs-9--the-new-accounting-standard-for-credit-loss-recognition.pdf" \h</w:instrText>
      </w:r>
      <w:r>
        <w:fldChar w:fldCharType="separate"/>
      </w:r>
      <w:r>
        <w:rPr>
          <w:rFonts w:ascii="Helvetica Neue" w:eastAsia="Helvetica Neue" w:hAnsi="Helvetica Neue" w:cs="Helvetica Neue"/>
          <w:sz w:val="18"/>
          <w:u w:val="single"/>
        </w:rPr>
        <w:t>https://www.riksbank.se/globalassets/media/rapporter/ekonomiska-kommentarer/engelska/2018/ifrs-9--the-new-accounting-standard-for-credit-loss-recognition.pdf</w:t>
      </w:r>
      <w:r>
        <w:fldChar w:fldCharType="end"/>
      </w:r>
      <w:r>
        <w:rPr>
          <w:rFonts w:eastAsia="Georgia" w:hAnsi="Georgia" w:cs="Georgia"/>
          <w:color w:val="000000"/>
          <w:sz w:val="18"/>
        </w:rPr>
        <w:t xml:space="preserve">   </w:t>
      </w:r>
    </w:p>
    <w:bookmarkStart w:id="134" w:name="fn12"/>
    <w:bookmarkEnd w:id="134"/>
    <w:p w14:paraId="35710E90" w14:textId="77777777" w:rsidR="008C5D65" w:rsidRDefault="00000000">
      <w:pPr>
        <w:numPr>
          <w:ilvl w:val="0"/>
          <w:numId w:val="17"/>
        </w:numPr>
        <w:spacing w:after="210" w:line="360" w:lineRule="auto"/>
      </w:pPr>
      <w:r>
        <w:fldChar w:fldCharType="begin"/>
      </w:r>
      <w:r>
        <w:instrText>HYPERLINK "https://group.nedbank.co.za/content/dam/group/pdf/19_presentations/2009/deutsche-securities-credit-teach-in-demystifying-the-procyclicality-of-basel-ii-nedbank-2009.pdf" \h</w:instrText>
      </w:r>
      <w:r>
        <w:fldChar w:fldCharType="separate"/>
      </w:r>
      <w:r>
        <w:rPr>
          <w:rFonts w:ascii="Helvetica Neue" w:eastAsia="Helvetica Neue" w:hAnsi="Helvetica Neue" w:cs="Helvetica Neue"/>
          <w:sz w:val="18"/>
          <w:u w:val="single"/>
        </w:rPr>
        <w:t>https://group.nedbank.co.za/content/dam/group/pdf/19_presentations/2009/deutsche-securities-credit-teach-in-demystifying-the-procyclicality-of-basel-ii-nedbank-2009.pdf</w:t>
      </w:r>
      <w:r>
        <w:fldChar w:fldCharType="end"/>
      </w:r>
      <w:r>
        <w:rPr>
          <w:rFonts w:eastAsia="Georgia" w:hAnsi="Georgia" w:cs="Georgia"/>
          <w:color w:val="000000"/>
          <w:sz w:val="18"/>
        </w:rPr>
        <w:t xml:space="preserve">   </w:t>
      </w:r>
    </w:p>
    <w:bookmarkStart w:id="135" w:name="fn13"/>
    <w:bookmarkEnd w:id="135"/>
    <w:p w14:paraId="4D48711F" w14:textId="77777777" w:rsidR="008C5D65" w:rsidRDefault="00000000">
      <w:pPr>
        <w:numPr>
          <w:ilvl w:val="0"/>
          <w:numId w:val="17"/>
        </w:numPr>
        <w:spacing w:after="210" w:line="360" w:lineRule="auto"/>
      </w:pPr>
      <w:r>
        <w:fldChar w:fldCharType="begin"/>
      </w:r>
      <w:r>
        <w:instrText>HYPERLINK "https://umbrex.com/resources/frameworks/strategy-frameworks/risk-adjusted-return-on-capital/" \h</w:instrText>
      </w:r>
      <w:r>
        <w:fldChar w:fldCharType="separate"/>
      </w:r>
      <w:r>
        <w:rPr>
          <w:rFonts w:ascii="Helvetica Neue" w:eastAsia="Helvetica Neue" w:hAnsi="Helvetica Neue" w:cs="Helvetica Neue"/>
          <w:sz w:val="18"/>
          <w:u w:val="single"/>
        </w:rPr>
        <w:t>https://umbrex.com/resources/frameworks/strategy-frameworks/risk-adjusted-return-on-capital/</w:t>
      </w:r>
      <w:r>
        <w:fldChar w:fldCharType="end"/>
      </w:r>
      <w:r>
        <w:rPr>
          <w:rFonts w:eastAsia="Georgia" w:hAnsi="Georgia" w:cs="Georgia"/>
          <w:color w:val="000000"/>
          <w:sz w:val="18"/>
        </w:rPr>
        <w:t xml:space="preserve"> </w:t>
      </w:r>
    </w:p>
    <w:bookmarkStart w:id="136" w:name="fn14"/>
    <w:bookmarkEnd w:id="136"/>
    <w:p w14:paraId="6F287EB0" w14:textId="77777777" w:rsidR="008C5D65" w:rsidRDefault="00000000">
      <w:pPr>
        <w:numPr>
          <w:ilvl w:val="0"/>
          <w:numId w:val="17"/>
        </w:numPr>
        <w:spacing w:after="210" w:line="360" w:lineRule="auto"/>
      </w:pPr>
      <w:r>
        <w:fldChar w:fldCharType="begin"/>
      </w:r>
      <w:r>
        <w:instrText>HYPERLINK "https://www.sciencedirect.com/science/article/abs/pii/S1042957307000058" \h</w:instrText>
      </w:r>
      <w:r>
        <w:fldChar w:fldCharType="separate"/>
      </w:r>
      <w:r>
        <w:rPr>
          <w:rFonts w:ascii="Helvetica Neue" w:eastAsia="Helvetica Neue" w:hAnsi="Helvetica Neue" w:cs="Helvetica Neue"/>
          <w:sz w:val="18"/>
          <w:u w:val="single"/>
        </w:rPr>
        <w:t>https://www.sciencedirect.com/science/article/abs/pii/S1042957307000058</w:t>
      </w:r>
      <w:r>
        <w:fldChar w:fldCharType="end"/>
      </w:r>
      <w:r>
        <w:rPr>
          <w:rFonts w:eastAsia="Georgia" w:hAnsi="Georgia" w:cs="Georgia"/>
          <w:color w:val="000000"/>
          <w:sz w:val="18"/>
        </w:rPr>
        <w:t xml:space="preserve">  </w:t>
      </w:r>
    </w:p>
    <w:bookmarkStart w:id="137" w:name="fn15"/>
    <w:bookmarkEnd w:id="137"/>
    <w:p w14:paraId="7F910A43" w14:textId="77777777" w:rsidR="008C5D65" w:rsidRDefault="00000000">
      <w:pPr>
        <w:numPr>
          <w:ilvl w:val="0"/>
          <w:numId w:val="17"/>
        </w:numPr>
        <w:spacing w:after="210" w:line="360" w:lineRule="auto"/>
      </w:pPr>
      <w:r>
        <w:fldChar w:fldCharType="begin"/>
      </w:r>
      <w:r>
        <w:instrText>HYPERLINK "https://www.esrb.europa.eu/pub/pdf/reports/esrb.report190318_reportonthecyclicalbehaviouroftheECLmodel~2347c3b8da.en.pdf" \h</w:instrText>
      </w:r>
      <w:r>
        <w:fldChar w:fldCharType="separate"/>
      </w:r>
      <w:r>
        <w:rPr>
          <w:rFonts w:ascii="Helvetica Neue" w:eastAsia="Helvetica Neue" w:hAnsi="Helvetica Neue" w:cs="Helvetica Neue"/>
          <w:sz w:val="18"/>
          <w:u w:val="single"/>
        </w:rPr>
        <w:t>https://www.esrb.europa.eu/pub/pdf/reports/esrb.report190318_reportonthecyclicalbehaviouroftheECLmodel~2347c3b8da.en.pdf</w:t>
      </w:r>
      <w:r>
        <w:fldChar w:fldCharType="end"/>
      </w:r>
      <w:r>
        <w:rPr>
          <w:rFonts w:eastAsia="Georgia" w:hAnsi="Georgia" w:cs="Georgia"/>
          <w:color w:val="000000"/>
          <w:sz w:val="18"/>
        </w:rPr>
        <w:t xml:space="preserve">  </w:t>
      </w:r>
    </w:p>
    <w:bookmarkStart w:id="138" w:name="fn16"/>
    <w:bookmarkEnd w:id="138"/>
    <w:p w14:paraId="7A43B4EE" w14:textId="77777777" w:rsidR="008C5D65" w:rsidRDefault="00000000">
      <w:pPr>
        <w:numPr>
          <w:ilvl w:val="0"/>
          <w:numId w:val="17"/>
        </w:numPr>
        <w:spacing w:after="210" w:line="360" w:lineRule="auto"/>
      </w:pPr>
      <w:r>
        <w:fldChar w:fldCharType="begin"/>
      </w:r>
      <w:r>
        <w:instrText>HYPERLINK "https://www.imf.org/-/media/files/publications/tnm/2026/english/tnmea2026004.pdf" \h</w:instrText>
      </w:r>
      <w:r>
        <w:fldChar w:fldCharType="separate"/>
      </w:r>
      <w:r>
        <w:rPr>
          <w:rFonts w:ascii="Helvetica Neue" w:eastAsia="Helvetica Neue" w:hAnsi="Helvetica Neue" w:cs="Helvetica Neue"/>
          <w:sz w:val="18"/>
          <w:u w:val="single"/>
        </w:rPr>
        <w:t>https://www.imf.org/-/media/files/publications/tnm/2026/english/tnmea2026004.pdf</w:t>
      </w:r>
      <w:r>
        <w:fldChar w:fldCharType="end"/>
      </w:r>
      <w:r>
        <w:rPr>
          <w:rFonts w:eastAsia="Georgia" w:hAnsi="Georgia" w:cs="Georgia"/>
          <w:color w:val="000000"/>
          <w:sz w:val="18"/>
        </w:rPr>
        <w:t xml:space="preserve">  </w:t>
      </w:r>
    </w:p>
    <w:bookmarkStart w:id="139" w:name="fn17"/>
    <w:bookmarkEnd w:id="139"/>
    <w:p w14:paraId="128113C3" w14:textId="77777777" w:rsidR="008C5D65" w:rsidRDefault="00000000">
      <w:pPr>
        <w:numPr>
          <w:ilvl w:val="0"/>
          <w:numId w:val="17"/>
        </w:numPr>
        <w:spacing w:after="210" w:line="360" w:lineRule="auto"/>
      </w:pPr>
      <w:r>
        <w:fldChar w:fldCharType="begin"/>
      </w:r>
      <w:r>
        <w:instrText>HYPERLINK "https://www.sciencedirect.com/science/article/abs/pii/S095741742400472X" \h</w:instrText>
      </w:r>
      <w:r>
        <w:fldChar w:fldCharType="separate"/>
      </w:r>
      <w:r>
        <w:rPr>
          <w:rFonts w:ascii="Helvetica Neue" w:eastAsia="Helvetica Neue" w:hAnsi="Helvetica Neue" w:cs="Helvetica Neue"/>
          <w:sz w:val="18"/>
          <w:u w:val="single"/>
        </w:rPr>
        <w:t>https://www.sciencedirect.com/science/article/abs/pii/S095741742400472X</w:t>
      </w:r>
      <w:r>
        <w:fldChar w:fldCharType="end"/>
      </w:r>
      <w:r>
        <w:rPr>
          <w:rFonts w:eastAsia="Georgia" w:hAnsi="Georgia" w:cs="Georgia"/>
          <w:color w:val="000000"/>
          <w:sz w:val="18"/>
        </w:rPr>
        <w:t xml:space="preserve">     </w:t>
      </w:r>
    </w:p>
    <w:bookmarkStart w:id="140" w:name="fn18"/>
    <w:bookmarkEnd w:id="140"/>
    <w:p w14:paraId="7CDFD8B5" w14:textId="77777777" w:rsidR="008C5D65" w:rsidRDefault="00000000">
      <w:pPr>
        <w:numPr>
          <w:ilvl w:val="0"/>
          <w:numId w:val="17"/>
        </w:numPr>
        <w:spacing w:after="210" w:line="360" w:lineRule="auto"/>
      </w:pPr>
      <w:r>
        <w:fldChar w:fldCharType="begin"/>
      </w:r>
      <w:r>
        <w:instrText>HYPERLINK "https://www.diva-portal.org/smash/get/diva2:1964001/FULLTEXT01.pdf" \h</w:instrText>
      </w:r>
      <w:r>
        <w:fldChar w:fldCharType="separate"/>
      </w:r>
      <w:r>
        <w:rPr>
          <w:rFonts w:ascii="Helvetica Neue" w:eastAsia="Helvetica Neue" w:hAnsi="Helvetica Neue" w:cs="Helvetica Neue"/>
          <w:sz w:val="18"/>
          <w:u w:val="single"/>
        </w:rPr>
        <w:t>https://www.diva-portal.org/smash/get/diva2:1964001/FULLTEXT01.pdf</w:t>
      </w:r>
      <w:r>
        <w:fldChar w:fldCharType="end"/>
      </w:r>
      <w:r>
        <w:rPr>
          <w:rFonts w:eastAsia="Georgia" w:hAnsi="Georgia" w:cs="Georgia"/>
          <w:color w:val="000000"/>
          <w:sz w:val="18"/>
        </w:rPr>
        <w:t xml:space="preserve">     </w:t>
      </w:r>
    </w:p>
    <w:bookmarkStart w:id="141" w:name="fn19"/>
    <w:bookmarkEnd w:id="141"/>
    <w:p w14:paraId="328992CA" w14:textId="77777777" w:rsidR="008C5D65" w:rsidRDefault="00000000">
      <w:pPr>
        <w:numPr>
          <w:ilvl w:val="0"/>
          <w:numId w:val="17"/>
        </w:numPr>
        <w:spacing w:after="210" w:line="360" w:lineRule="auto"/>
      </w:pPr>
      <w:r>
        <w:lastRenderedPageBreak/>
        <w:fldChar w:fldCharType="begin"/>
      </w:r>
      <w:r>
        <w:instrText>HYPERLINK "https://www.garp.org/risk-intelligence/credit/credit-risk-measurement-alternatives-250207" \h</w:instrText>
      </w:r>
      <w:r>
        <w:fldChar w:fldCharType="separate"/>
      </w:r>
      <w:r>
        <w:rPr>
          <w:rFonts w:ascii="Helvetica Neue" w:eastAsia="Helvetica Neue" w:hAnsi="Helvetica Neue" w:cs="Helvetica Neue"/>
          <w:sz w:val="18"/>
          <w:u w:val="single"/>
        </w:rPr>
        <w:t>https://www.garp.org/risk-intelligence/credit/credit-risk-measurement-alternatives-250207</w:t>
      </w:r>
      <w:r>
        <w:fldChar w:fldCharType="end"/>
      </w:r>
      <w:r>
        <w:rPr>
          <w:rFonts w:eastAsia="Georgia" w:hAnsi="Georgia" w:cs="Georgia"/>
          <w:color w:val="000000"/>
          <w:sz w:val="18"/>
        </w:rPr>
        <w:t xml:space="preserve">   </w:t>
      </w:r>
    </w:p>
    <w:bookmarkStart w:id="142" w:name="fn20"/>
    <w:bookmarkEnd w:id="142"/>
    <w:p w14:paraId="62D10CBF" w14:textId="77777777" w:rsidR="008C5D65" w:rsidRDefault="00000000">
      <w:pPr>
        <w:numPr>
          <w:ilvl w:val="0"/>
          <w:numId w:val="17"/>
        </w:numPr>
        <w:spacing w:after="210" w:line="360" w:lineRule="auto"/>
      </w:pPr>
      <w:r>
        <w:fldChar w:fldCharType="begin"/>
      </w:r>
      <w:r>
        <w:instrText>HYPERLINK "http://przyrbwn.icm.edu.pl/APP/PDF/138/app138z1p16.pdf" \h</w:instrText>
      </w:r>
      <w:r>
        <w:fldChar w:fldCharType="separate"/>
      </w:r>
      <w:r>
        <w:rPr>
          <w:rFonts w:ascii="Helvetica Neue" w:eastAsia="Helvetica Neue" w:hAnsi="Helvetica Neue" w:cs="Helvetica Neue"/>
          <w:sz w:val="18"/>
          <w:u w:val="single"/>
        </w:rPr>
        <w:t>http://przyrbwn.icm.edu.pl/APP/PDF/138/app138z1p16.pdf</w:t>
      </w:r>
      <w:r>
        <w:fldChar w:fldCharType="end"/>
      </w:r>
      <w:r>
        <w:rPr>
          <w:rFonts w:eastAsia="Georgia" w:hAnsi="Georgia" w:cs="Georgia"/>
          <w:color w:val="000000"/>
          <w:sz w:val="18"/>
        </w:rPr>
        <w:t xml:space="preserve"> </w:t>
      </w:r>
    </w:p>
    <w:bookmarkStart w:id="143" w:name="fn21"/>
    <w:bookmarkEnd w:id="143"/>
    <w:p w14:paraId="08E2F287" w14:textId="77777777" w:rsidR="008C5D65" w:rsidRDefault="00000000">
      <w:pPr>
        <w:numPr>
          <w:ilvl w:val="0"/>
          <w:numId w:val="17"/>
        </w:numPr>
        <w:spacing w:after="210" w:line="360" w:lineRule="auto"/>
      </w:pPr>
      <w:r>
        <w:fldChar w:fldCharType="begin"/>
      </w:r>
      <w:r>
        <w:instrText>HYPERLINK "https://www.underwrite.ai/resources/credit-risk-modeling" \h</w:instrText>
      </w:r>
      <w:r>
        <w:fldChar w:fldCharType="separate"/>
      </w:r>
      <w:r>
        <w:rPr>
          <w:rFonts w:ascii="Helvetica Neue" w:eastAsia="Helvetica Neue" w:hAnsi="Helvetica Neue" w:cs="Helvetica Neue"/>
          <w:sz w:val="18"/>
          <w:u w:val="single"/>
        </w:rPr>
        <w:t>https://www.underwrite.ai/resources/credit-risk-modeling</w:t>
      </w:r>
      <w:r>
        <w:fldChar w:fldCharType="end"/>
      </w:r>
      <w:r>
        <w:rPr>
          <w:rFonts w:eastAsia="Georgia" w:hAnsi="Georgia" w:cs="Georgia"/>
          <w:color w:val="000000"/>
          <w:sz w:val="18"/>
        </w:rPr>
        <w:t xml:space="preserve"> </w:t>
      </w:r>
    </w:p>
    <w:bookmarkStart w:id="144" w:name="fn22"/>
    <w:bookmarkEnd w:id="144"/>
    <w:p w14:paraId="057ED12E" w14:textId="77777777" w:rsidR="008C5D65" w:rsidRDefault="00000000">
      <w:pPr>
        <w:numPr>
          <w:ilvl w:val="0"/>
          <w:numId w:val="17"/>
        </w:numPr>
        <w:spacing w:after="210" w:line="360" w:lineRule="auto"/>
      </w:pPr>
      <w:r>
        <w:fldChar w:fldCharType="begin"/>
      </w:r>
      <w:r>
        <w:instrText>HYPERLINK "https://papers.ssrn.com/sol3/papers.cfm?abstract_id=6443498" \h</w:instrText>
      </w:r>
      <w:r>
        <w:fldChar w:fldCharType="separate"/>
      </w:r>
      <w:r>
        <w:rPr>
          <w:rFonts w:ascii="Helvetica Neue" w:eastAsia="Helvetica Neue" w:hAnsi="Helvetica Neue" w:cs="Helvetica Neue"/>
          <w:sz w:val="18"/>
          <w:u w:val="single"/>
        </w:rPr>
        <w:t>https://papers.ssrn.com/sol3/papers.cfm?abstract_id=6443498</w:t>
      </w:r>
      <w:r>
        <w:fldChar w:fldCharType="end"/>
      </w:r>
      <w:r>
        <w:rPr>
          <w:rFonts w:eastAsia="Georgia" w:hAnsi="Georgia" w:cs="Georgia"/>
          <w:color w:val="000000"/>
          <w:sz w:val="18"/>
        </w:rPr>
        <w:t xml:space="preserve">  </w:t>
      </w:r>
    </w:p>
    <w:bookmarkStart w:id="145" w:name="fn23"/>
    <w:bookmarkEnd w:id="145"/>
    <w:p w14:paraId="6D2B84A9" w14:textId="77777777" w:rsidR="008C5D65" w:rsidRDefault="00000000">
      <w:pPr>
        <w:numPr>
          <w:ilvl w:val="0"/>
          <w:numId w:val="17"/>
        </w:numPr>
        <w:spacing w:after="210" w:line="360" w:lineRule="auto"/>
      </w:pPr>
      <w:r>
        <w:fldChar w:fldCharType="begin"/>
      </w:r>
      <w:r>
        <w:instrText>HYPERLINK "https://www.linkedin.com/pulse/rise-machine-learning-ifrs-9-opportunities-challenges-akukf" \h</w:instrText>
      </w:r>
      <w:r>
        <w:fldChar w:fldCharType="separate"/>
      </w:r>
      <w:r>
        <w:rPr>
          <w:rFonts w:ascii="Helvetica Neue" w:eastAsia="Helvetica Neue" w:hAnsi="Helvetica Neue" w:cs="Helvetica Neue"/>
          <w:sz w:val="18"/>
          <w:u w:val="single"/>
        </w:rPr>
        <w:t>https://www.linkedin.com/pulse/rise-machine-learning-ifrs-9-opportunities-challenges-akukf</w:t>
      </w:r>
      <w:r>
        <w:fldChar w:fldCharType="end"/>
      </w:r>
      <w:r>
        <w:rPr>
          <w:rFonts w:eastAsia="Georgia" w:hAnsi="Georgia" w:cs="Georgia"/>
          <w:color w:val="000000"/>
          <w:sz w:val="18"/>
        </w:rPr>
        <w:t xml:space="preserve">  </w:t>
      </w:r>
    </w:p>
    <w:sectPr w:rsidR="008C5D65">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Neue">
    <w:altName w:val="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6DF7"/>
    <w:multiLevelType w:val="hybridMultilevel"/>
    <w:tmpl w:val="F47016EC"/>
    <w:lvl w:ilvl="0" w:tplc="AB88F8D6">
      <w:start w:val="1"/>
      <w:numFmt w:val="bullet"/>
      <w:lvlText w:val=""/>
      <w:lvlJc w:val="left"/>
      <w:pPr>
        <w:tabs>
          <w:tab w:val="num" w:pos="900"/>
        </w:tabs>
        <w:ind w:left="540" w:hanging="360"/>
      </w:pPr>
      <w:rPr>
        <w:rFonts w:ascii="Symbol" w:hAnsi="Symbol" w:hint="default"/>
      </w:rPr>
    </w:lvl>
    <w:lvl w:ilvl="1" w:tplc="D87215F4">
      <w:numFmt w:val="decimal"/>
      <w:lvlText w:val=""/>
      <w:lvlJc w:val="left"/>
    </w:lvl>
    <w:lvl w:ilvl="2" w:tplc="9362BA50">
      <w:numFmt w:val="decimal"/>
      <w:lvlText w:val=""/>
      <w:lvlJc w:val="left"/>
    </w:lvl>
    <w:lvl w:ilvl="3" w:tplc="FDB811F0">
      <w:numFmt w:val="decimal"/>
      <w:lvlText w:val=""/>
      <w:lvlJc w:val="left"/>
    </w:lvl>
    <w:lvl w:ilvl="4" w:tplc="91C6FD20">
      <w:numFmt w:val="decimal"/>
      <w:lvlText w:val=""/>
      <w:lvlJc w:val="left"/>
    </w:lvl>
    <w:lvl w:ilvl="5" w:tplc="66CE8092">
      <w:numFmt w:val="decimal"/>
      <w:lvlText w:val=""/>
      <w:lvlJc w:val="left"/>
    </w:lvl>
    <w:lvl w:ilvl="6" w:tplc="0A26C146">
      <w:numFmt w:val="decimal"/>
      <w:lvlText w:val=""/>
      <w:lvlJc w:val="left"/>
    </w:lvl>
    <w:lvl w:ilvl="7" w:tplc="39444BFA">
      <w:numFmt w:val="decimal"/>
      <w:lvlText w:val=""/>
      <w:lvlJc w:val="left"/>
    </w:lvl>
    <w:lvl w:ilvl="8" w:tplc="35A441B6">
      <w:numFmt w:val="decimal"/>
      <w:lvlText w:val=""/>
      <w:lvlJc w:val="left"/>
    </w:lvl>
  </w:abstractNum>
  <w:abstractNum w:abstractNumId="1" w15:restartNumberingAfterBreak="0">
    <w:nsid w:val="06CD0AB5"/>
    <w:multiLevelType w:val="hybridMultilevel"/>
    <w:tmpl w:val="C9FA0C6A"/>
    <w:lvl w:ilvl="0" w:tplc="C0B44B58">
      <w:start w:val="1"/>
      <w:numFmt w:val="bullet"/>
      <w:lvlText w:val=""/>
      <w:lvlJc w:val="left"/>
      <w:pPr>
        <w:tabs>
          <w:tab w:val="num" w:pos="900"/>
        </w:tabs>
        <w:ind w:left="540" w:hanging="360"/>
      </w:pPr>
      <w:rPr>
        <w:rFonts w:ascii="Symbol" w:hAnsi="Symbol" w:hint="default"/>
      </w:rPr>
    </w:lvl>
    <w:lvl w:ilvl="1" w:tplc="C9AC759E">
      <w:numFmt w:val="decimal"/>
      <w:lvlText w:val=""/>
      <w:lvlJc w:val="left"/>
    </w:lvl>
    <w:lvl w:ilvl="2" w:tplc="91BA180E">
      <w:numFmt w:val="decimal"/>
      <w:lvlText w:val=""/>
      <w:lvlJc w:val="left"/>
    </w:lvl>
    <w:lvl w:ilvl="3" w:tplc="2FDC9132">
      <w:numFmt w:val="decimal"/>
      <w:lvlText w:val=""/>
      <w:lvlJc w:val="left"/>
    </w:lvl>
    <w:lvl w:ilvl="4" w:tplc="9356BF70">
      <w:numFmt w:val="decimal"/>
      <w:lvlText w:val=""/>
      <w:lvlJc w:val="left"/>
    </w:lvl>
    <w:lvl w:ilvl="5" w:tplc="CE4CD230">
      <w:numFmt w:val="decimal"/>
      <w:lvlText w:val=""/>
      <w:lvlJc w:val="left"/>
    </w:lvl>
    <w:lvl w:ilvl="6" w:tplc="F8628B7C">
      <w:numFmt w:val="decimal"/>
      <w:lvlText w:val=""/>
      <w:lvlJc w:val="left"/>
    </w:lvl>
    <w:lvl w:ilvl="7" w:tplc="819A60CA">
      <w:numFmt w:val="decimal"/>
      <w:lvlText w:val=""/>
      <w:lvlJc w:val="left"/>
    </w:lvl>
    <w:lvl w:ilvl="8" w:tplc="7DF0D9E6">
      <w:numFmt w:val="decimal"/>
      <w:lvlText w:val=""/>
      <w:lvlJc w:val="left"/>
    </w:lvl>
  </w:abstractNum>
  <w:abstractNum w:abstractNumId="2" w15:restartNumberingAfterBreak="0">
    <w:nsid w:val="0BA869EF"/>
    <w:multiLevelType w:val="hybridMultilevel"/>
    <w:tmpl w:val="61E4CB2A"/>
    <w:lvl w:ilvl="0" w:tplc="B72A4380">
      <w:start w:val="1"/>
      <w:numFmt w:val="bullet"/>
      <w:lvlText w:val=""/>
      <w:lvlJc w:val="left"/>
      <w:pPr>
        <w:tabs>
          <w:tab w:val="num" w:pos="900"/>
        </w:tabs>
        <w:ind w:left="540" w:hanging="360"/>
      </w:pPr>
      <w:rPr>
        <w:rFonts w:ascii="Symbol" w:hAnsi="Symbol" w:hint="default"/>
      </w:rPr>
    </w:lvl>
    <w:lvl w:ilvl="1" w:tplc="02B2B7A0">
      <w:numFmt w:val="decimal"/>
      <w:lvlText w:val=""/>
      <w:lvlJc w:val="left"/>
    </w:lvl>
    <w:lvl w:ilvl="2" w:tplc="10F84B36">
      <w:numFmt w:val="decimal"/>
      <w:lvlText w:val=""/>
      <w:lvlJc w:val="left"/>
    </w:lvl>
    <w:lvl w:ilvl="3" w:tplc="DC564E9A">
      <w:numFmt w:val="decimal"/>
      <w:lvlText w:val=""/>
      <w:lvlJc w:val="left"/>
    </w:lvl>
    <w:lvl w:ilvl="4" w:tplc="F42A93A2">
      <w:numFmt w:val="decimal"/>
      <w:lvlText w:val=""/>
      <w:lvlJc w:val="left"/>
    </w:lvl>
    <w:lvl w:ilvl="5" w:tplc="24705510">
      <w:numFmt w:val="decimal"/>
      <w:lvlText w:val=""/>
      <w:lvlJc w:val="left"/>
    </w:lvl>
    <w:lvl w:ilvl="6" w:tplc="B6F4498A">
      <w:numFmt w:val="decimal"/>
      <w:lvlText w:val=""/>
      <w:lvlJc w:val="left"/>
    </w:lvl>
    <w:lvl w:ilvl="7" w:tplc="9D1A7386">
      <w:numFmt w:val="decimal"/>
      <w:lvlText w:val=""/>
      <w:lvlJc w:val="left"/>
    </w:lvl>
    <w:lvl w:ilvl="8" w:tplc="348EA458">
      <w:numFmt w:val="decimal"/>
      <w:lvlText w:val=""/>
      <w:lvlJc w:val="left"/>
    </w:lvl>
  </w:abstractNum>
  <w:abstractNum w:abstractNumId="3" w15:restartNumberingAfterBreak="0">
    <w:nsid w:val="0E004004"/>
    <w:multiLevelType w:val="hybridMultilevel"/>
    <w:tmpl w:val="2466A578"/>
    <w:lvl w:ilvl="0" w:tplc="73F877DC">
      <w:start w:val="1"/>
      <w:numFmt w:val="bullet"/>
      <w:lvlText w:val=""/>
      <w:lvlJc w:val="left"/>
      <w:pPr>
        <w:tabs>
          <w:tab w:val="num" w:pos="900"/>
        </w:tabs>
        <w:ind w:left="540" w:hanging="360"/>
      </w:pPr>
      <w:rPr>
        <w:rFonts w:ascii="Symbol" w:hAnsi="Symbol" w:hint="default"/>
      </w:rPr>
    </w:lvl>
    <w:lvl w:ilvl="1" w:tplc="AD9A6982">
      <w:numFmt w:val="decimal"/>
      <w:lvlText w:val=""/>
      <w:lvlJc w:val="left"/>
    </w:lvl>
    <w:lvl w:ilvl="2" w:tplc="05944BBE">
      <w:numFmt w:val="decimal"/>
      <w:lvlText w:val=""/>
      <w:lvlJc w:val="left"/>
    </w:lvl>
    <w:lvl w:ilvl="3" w:tplc="0D165DC6">
      <w:numFmt w:val="decimal"/>
      <w:lvlText w:val=""/>
      <w:lvlJc w:val="left"/>
    </w:lvl>
    <w:lvl w:ilvl="4" w:tplc="DF0C6EE6">
      <w:numFmt w:val="decimal"/>
      <w:lvlText w:val=""/>
      <w:lvlJc w:val="left"/>
    </w:lvl>
    <w:lvl w:ilvl="5" w:tplc="08784E6A">
      <w:numFmt w:val="decimal"/>
      <w:lvlText w:val=""/>
      <w:lvlJc w:val="left"/>
    </w:lvl>
    <w:lvl w:ilvl="6" w:tplc="A306C998">
      <w:numFmt w:val="decimal"/>
      <w:lvlText w:val=""/>
      <w:lvlJc w:val="left"/>
    </w:lvl>
    <w:lvl w:ilvl="7" w:tplc="754A3B92">
      <w:numFmt w:val="decimal"/>
      <w:lvlText w:val=""/>
      <w:lvlJc w:val="left"/>
    </w:lvl>
    <w:lvl w:ilvl="8" w:tplc="A4DE5C40">
      <w:numFmt w:val="decimal"/>
      <w:lvlText w:val=""/>
      <w:lvlJc w:val="left"/>
    </w:lvl>
  </w:abstractNum>
  <w:abstractNum w:abstractNumId="4" w15:restartNumberingAfterBreak="0">
    <w:nsid w:val="134032A6"/>
    <w:multiLevelType w:val="hybridMultilevel"/>
    <w:tmpl w:val="74625B8A"/>
    <w:lvl w:ilvl="0" w:tplc="3198F34A">
      <w:start w:val="1"/>
      <w:numFmt w:val="bullet"/>
      <w:lvlText w:val=""/>
      <w:lvlJc w:val="left"/>
      <w:pPr>
        <w:tabs>
          <w:tab w:val="num" w:pos="900"/>
        </w:tabs>
        <w:ind w:left="540" w:hanging="360"/>
      </w:pPr>
      <w:rPr>
        <w:rFonts w:ascii="Symbol" w:hAnsi="Symbol" w:hint="default"/>
      </w:rPr>
    </w:lvl>
    <w:lvl w:ilvl="1" w:tplc="E444B2A8">
      <w:numFmt w:val="decimal"/>
      <w:lvlText w:val=""/>
      <w:lvlJc w:val="left"/>
    </w:lvl>
    <w:lvl w:ilvl="2" w:tplc="870A03FC">
      <w:numFmt w:val="decimal"/>
      <w:lvlText w:val=""/>
      <w:lvlJc w:val="left"/>
    </w:lvl>
    <w:lvl w:ilvl="3" w:tplc="43FA3AD0">
      <w:numFmt w:val="decimal"/>
      <w:lvlText w:val=""/>
      <w:lvlJc w:val="left"/>
    </w:lvl>
    <w:lvl w:ilvl="4" w:tplc="8DA8CDFC">
      <w:numFmt w:val="decimal"/>
      <w:lvlText w:val=""/>
      <w:lvlJc w:val="left"/>
    </w:lvl>
    <w:lvl w:ilvl="5" w:tplc="D1007C6A">
      <w:numFmt w:val="decimal"/>
      <w:lvlText w:val=""/>
      <w:lvlJc w:val="left"/>
    </w:lvl>
    <w:lvl w:ilvl="6" w:tplc="553090C4">
      <w:numFmt w:val="decimal"/>
      <w:lvlText w:val=""/>
      <w:lvlJc w:val="left"/>
    </w:lvl>
    <w:lvl w:ilvl="7" w:tplc="4EB8784C">
      <w:numFmt w:val="decimal"/>
      <w:lvlText w:val=""/>
      <w:lvlJc w:val="left"/>
    </w:lvl>
    <w:lvl w:ilvl="8" w:tplc="87DC832A">
      <w:numFmt w:val="decimal"/>
      <w:lvlText w:val=""/>
      <w:lvlJc w:val="left"/>
    </w:lvl>
  </w:abstractNum>
  <w:abstractNum w:abstractNumId="5" w15:restartNumberingAfterBreak="0">
    <w:nsid w:val="14D61893"/>
    <w:multiLevelType w:val="hybridMultilevel"/>
    <w:tmpl w:val="06985A6A"/>
    <w:lvl w:ilvl="0" w:tplc="1AE2B6B4">
      <w:start w:val="1"/>
      <w:numFmt w:val="bullet"/>
      <w:lvlText w:val=""/>
      <w:lvlJc w:val="left"/>
      <w:pPr>
        <w:tabs>
          <w:tab w:val="num" w:pos="900"/>
        </w:tabs>
        <w:ind w:left="540" w:hanging="360"/>
      </w:pPr>
      <w:rPr>
        <w:rFonts w:ascii="Symbol" w:hAnsi="Symbol" w:hint="default"/>
      </w:rPr>
    </w:lvl>
    <w:lvl w:ilvl="1" w:tplc="AE22CE16">
      <w:numFmt w:val="decimal"/>
      <w:lvlText w:val=""/>
      <w:lvlJc w:val="left"/>
    </w:lvl>
    <w:lvl w:ilvl="2" w:tplc="CCA46ACA">
      <w:numFmt w:val="decimal"/>
      <w:lvlText w:val=""/>
      <w:lvlJc w:val="left"/>
    </w:lvl>
    <w:lvl w:ilvl="3" w:tplc="51827B7E">
      <w:numFmt w:val="decimal"/>
      <w:lvlText w:val=""/>
      <w:lvlJc w:val="left"/>
    </w:lvl>
    <w:lvl w:ilvl="4" w:tplc="1860A064">
      <w:numFmt w:val="decimal"/>
      <w:lvlText w:val=""/>
      <w:lvlJc w:val="left"/>
    </w:lvl>
    <w:lvl w:ilvl="5" w:tplc="CE901978">
      <w:numFmt w:val="decimal"/>
      <w:lvlText w:val=""/>
      <w:lvlJc w:val="left"/>
    </w:lvl>
    <w:lvl w:ilvl="6" w:tplc="7A7A3BDC">
      <w:numFmt w:val="decimal"/>
      <w:lvlText w:val=""/>
      <w:lvlJc w:val="left"/>
    </w:lvl>
    <w:lvl w:ilvl="7" w:tplc="F71472BC">
      <w:numFmt w:val="decimal"/>
      <w:lvlText w:val=""/>
      <w:lvlJc w:val="left"/>
    </w:lvl>
    <w:lvl w:ilvl="8" w:tplc="067C15BC">
      <w:numFmt w:val="decimal"/>
      <w:lvlText w:val=""/>
      <w:lvlJc w:val="left"/>
    </w:lvl>
  </w:abstractNum>
  <w:abstractNum w:abstractNumId="6" w15:restartNumberingAfterBreak="0">
    <w:nsid w:val="1CCD27D3"/>
    <w:multiLevelType w:val="hybridMultilevel"/>
    <w:tmpl w:val="23060D10"/>
    <w:lvl w:ilvl="0" w:tplc="6B9A5A3A">
      <w:start w:val="1"/>
      <w:numFmt w:val="bullet"/>
      <w:lvlText w:val=""/>
      <w:lvlJc w:val="left"/>
      <w:pPr>
        <w:tabs>
          <w:tab w:val="num" w:pos="900"/>
        </w:tabs>
        <w:ind w:left="540" w:hanging="360"/>
      </w:pPr>
      <w:rPr>
        <w:rFonts w:ascii="Symbol" w:hAnsi="Symbol" w:hint="default"/>
      </w:rPr>
    </w:lvl>
    <w:lvl w:ilvl="1" w:tplc="D9B0F2E4">
      <w:numFmt w:val="decimal"/>
      <w:lvlText w:val=""/>
      <w:lvlJc w:val="left"/>
    </w:lvl>
    <w:lvl w:ilvl="2" w:tplc="CA768CE8">
      <w:numFmt w:val="decimal"/>
      <w:lvlText w:val=""/>
      <w:lvlJc w:val="left"/>
    </w:lvl>
    <w:lvl w:ilvl="3" w:tplc="1AD6DD58">
      <w:numFmt w:val="decimal"/>
      <w:lvlText w:val=""/>
      <w:lvlJc w:val="left"/>
    </w:lvl>
    <w:lvl w:ilvl="4" w:tplc="36B8AB1C">
      <w:numFmt w:val="decimal"/>
      <w:lvlText w:val=""/>
      <w:lvlJc w:val="left"/>
    </w:lvl>
    <w:lvl w:ilvl="5" w:tplc="FA2AD73C">
      <w:numFmt w:val="decimal"/>
      <w:lvlText w:val=""/>
      <w:lvlJc w:val="left"/>
    </w:lvl>
    <w:lvl w:ilvl="6" w:tplc="D7C2D560">
      <w:numFmt w:val="decimal"/>
      <w:lvlText w:val=""/>
      <w:lvlJc w:val="left"/>
    </w:lvl>
    <w:lvl w:ilvl="7" w:tplc="5F06FE92">
      <w:numFmt w:val="decimal"/>
      <w:lvlText w:val=""/>
      <w:lvlJc w:val="left"/>
    </w:lvl>
    <w:lvl w:ilvl="8" w:tplc="DF3A64A6">
      <w:numFmt w:val="decimal"/>
      <w:lvlText w:val=""/>
      <w:lvlJc w:val="left"/>
    </w:lvl>
  </w:abstractNum>
  <w:abstractNum w:abstractNumId="7" w15:restartNumberingAfterBreak="0">
    <w:nsid w:val="1EC46A99"/>
    <w:multiLevelType w:val="hybridMultilevel"/>
    <w:tmpl w:val="76C4B532"/>
    <w:lvl w:ilvl="0" w:tplc="ABA8CC86">
      <w:start w:val="1"/>
      <w:numFmt w:val="bullet"/>
      <w:lvlText w:val=""/>
      <w:lvlJc w:val="left"/>
      <w:pPr>
        <w:tabs>
          <w:tab w:val="num" w:pos="900"/>
        </w:tabs>
        <w:ind w:left="540" w:hanging="360"/>
      </w:pPr>
      <w:rPr>
        <w:rFonts w:ascii="Symbol" w:hAnsi="Symbol" w:hint="default"/>
      </w:rPr>
    </w:lvl>
    <w:lvl w:ilvl="1" w:tplc="CB46AFE2">
      <w:numFmt w:val="decimal"/>
      <w:lvlText w:val=""/>
      <w:lvlJc w:val="left"/>
    </w:lvl>
    <w:lvl w:ilvl="2" w:tplc="077A22CE">
      <w:numFmt w:val="decimal"/>
      <w:lvlText w:val=""/>
      <w:lvlJc w:val="left"/>
    </w:lvl>
    <w:lvl w:ilvl="3" w:tplc="B0426AB4">
      <w:numFmt w:val="decimal"/>
      <w:lvlText w:val=""/>
      <w:lvlJc w:val="left"/>
    </w:lvl>
    <w:lvl w:ilvl="4" w:tplc="1C4E4A0E">
      <w:numFmt w:val="decimal"/>
      <w:lvlText w:val=""/>
      <w:lvlJc w:val="left"/>
    </w:lvl>
    <w:lvl w:ilvl="5" w:tplc="487C47C6">
      <w:numFmt w:val="decimal"/>
      <w:lvlText w:val=""/>
      <w:lvlJc w:val="left"/>
    </w:lvl>
    <w:lvl w:ilvl="6" w:tplc="C35C36BE">
      <w:numFmt w:val="decimal"/>
      <w:lvlText w:val=""/>
      <w:lvlJc w:val="left"/>
    </w:lvl>
    <w:lvl w:ilvl="7" w:tplc="8AC889B8">
      <w:numFmt w:val="decimal"/>
      <w:lvlText w:val=""/>
      <w:lvlJc w:val="left"/>
    </w:lvl>
    <w:lvl w:ilvl="8" w:tplc="C980E96C">
      <w:numFmt w:val="decimal"/>
      <w:lvlText w:val=""/>
      <w:lvlJc w:val="left"/>
    </w:lvl>
  </w:abstractNum>
  <w:abstractNum w:abstractNumId="8" w15:restartNumberingAfterBreak="0">
    <w:nsid w:val="24FE5A99"/>
    <w:multiLevelType w:val="hybridMultilevel"/>
    <w:tmpl w:val="DCB8F8EE"/>
    <w:lvl w:ilvl="0" w:tplc="71A8989E">
      <w:start w:val="1"/>
      <w:numFmt w:val="bullet"/>
      <w:lvlText w:val=""/>
      <w:lvlJc w:val="left"/>
      <w:pPr>
        <w:tabs>
          <w:tab w:val="num" w:pos="900"/>
        </w:tabs>
        <w:ind w:left="540" w:hanging="360"/>
      </w:pPr>
      <w:rPr>
        <w:rFonts w:ascii="Symbol" w:hAnsi="Symbol" w:hint="default"/>
      </w:rPr>
    </w:lvl>
    <w:lvl w:ilvl="1" w:tplc="907C7156">
      <w:numFmt w:val="decimal"/>
      <w:lvlText w:val=""/>
      <w:lvlJc w:val="left"/>
    </w:lvl>
    <w:lvl w:ilvl="2" w:tplc="4C5494F4">
      <w:numFmt w:val="decimal"/>
      <w:lvlText w:val=""/>
      <w:lvlJc w:val="left"/>
    </w:lvl>
    <w:lvl w:ilvl="3" w:tplc="FA10FAB2">
      <w:numFmt w:val="decimal"/>
      <w:lvlText w:val=""/>
      <w:lvlJc w:val="left"/>
    </w:lvl>
    <w:lvl w:ilvl="4" w:tplc="0A32903C">
      <w:numFmt w:val="decimal"/>
      <w:lvlText w:val=""/>
      <w:lvlJc w:val="left"/>
    </w:lvl>
    <w:lvl w:ilvl="5" w:tplc="FAD2F778">
      <w:numFmt w:val="decimal"/>
      <w:lvlText w:val=""/>
      <w:lvlJc w:val="left"/>
    </w:lvl>
    <w:lvl w:ilvl="6" w:tplc="82EE5CC2">
      <w:numFmt w:val="decimal"/>
      <w:lvlText w:val=""/>
      <w:lvlJc w:val="left"/>
    </w:lvl>
    <w:lvl w:ilvl="7" w:tplc="0012267E">
      <w:numFmt w:val="decimal"/>
      <w:lvlText w:val=""/>
      <w:lvlJc w:val="left"/>
    </w:lvl>
    <w:lvl w:ilvl="8" w:tplc="23887678">
      <w:numFmt w:val="decimal"/>
      <w:lvlText w:val=""/>
      <w:lvlJc w:val="left"/>
    </w:lvl>
  </w:abstractNum>
  <w:abstractNum w:abstractNumId="9" w15:restartNumberingAfterBreak="0">
    <w:nsid w:val="29EF6691"/>
    <w:multiLevelType w:val="hybridMultilevel"/>
    <w:tmpl w:val="489295EC"/>
    <w:lvl w:ilvl="0" w:tplc="0BFC3F56">
      <w:numFmt w:val="decimal"/>
      <w:lvlText w:val=""/>
      <w:lvlJc w:val="left"/>
    </w:lvl>
    <w:lvl w:ilvl="1" w:tplc="12F81DD8">
      <w:numFmt w:val="decimal"/>
      <w:lvlText w:val=""/>
      <w:lvlJc w:val="left"/>
    </w:lvl>
    <w:lvl w:ilvl="2" w:tplc="4184B7C2">
      <w:numFmt w:val="decimal"/>
      <w:lvlText w:val=""/>
      <w:lvlJc w:val="left"/>
    </w:lvl>
    <w:lvl w:ilvl="3" w:tplc="099870CE">
      <w:numFmt w:val="decimal"/>
      <w:lvlText w:val=""/>
      <w:lvlJc w:val="left"/>
    </w:lvl>
    <w:lvl w:ilvl="4" w:tplc="20C6A85E">
      <w:numFmt w:val="decimal"/>
      <w:lvlText w:val=""/>
      <w:lvlJc w:val="left"/>
    </w:lvl>
    <w:lvl w:ilvl="5" w:tplc="C19AB90A">
      <w:numFmt w:val="decimal"/>
      <w:lvlText w:val=""/>
      <w:lvlJc w:val="left"/>
    </w:lvl>
    <w:lvl w:ilvl="6" w:tplc="5EB82CEC">
      <w:numFmt w:val="decimal"/>
      <w:lvlText w:val=""/>
      <w:lvlJc w:val="left"/>
    </w:lvl>
    <w:lvl w:ilvl="7" w:tplc="AA147050">
      <w:numFmt w:val="decimal"/>
      <w:lvlText w:val=""/>
      <w:lvlJc w:val="left"/>
    </w:lvl>
    <w:lvl w:ilvl="8" w:tplc="44E20DB6">
      <w:numFmt w:val="decimal"/>
      <w:lvlText w:val=""/>
      <w:lvlJc w:val="left"/>
    </w:lvl>
  </w:abstractNum>
  <w:abstractNum w:abstractNumId="10" w15:restartNumberingAfterBreak="0">
    <w:nsid w:val="439C7790"/>
    <w:multiLevelType w:val="hybridMultilevel"/>
    <w:tmpl w:val="3DA8D072"/>
    <w:lvl w:ilvl="0" w:tplc="43BC12CC">
      <w:start w:val="1"/>
      <w:numFmt w:val="bullet"/>
      <w:lvlText w:val=""/>
      <w:lvlJc w:val="left"/>
      <w:pPr>
        <w:tabs>
          <w:tab w:val="num" w:pos="900"/>
        </w:tabs>
        <w:ind w:left="540" w:hanging="360"/>
      </w:pPr>
      <w:rPr>
        <w:rFonts w:ascii="Symbol" w:hAnsi="Symbol" w:hint="default"/>
      </w:rPr>
    </w:lvl>
    <w:lvl w:ilvl="1" w:tplc="74AC6F14">
      <w:numFmt w:val="decimal"/>
      <w:lvlText w:val=""/>
      <w:lvlJc w:val="left"/>
    </w:lvl>
    <w:lvl w:ilvl="2" w:tplc="CA165BBA">
      <w:numFmt w:val="decimal"/>
      <w:lvlText w:val=""/>
      <w:lvlJc w:val="left"/>
    </w:lvl>
    <w:lvl w:ilvl="3" w:tplc="6F64D358">
      <w:numFmt w:val="decimal"/>
      <w:lvlText w:val=""/>
      <w:lvlJc w:val="left"/>
    </w:lvl>
    <w:lvl w:ilvl="4" w:tplc="7204858E">
      <w:numFmt w:val="decimal"/>
      <w:lvlText w:val=""/>
      <w:lvlJc w:val="left"/>
    </w:lvl>
    <w:lvl w:ilvl="5" w:tplc="1702F146">
      <w:numFmt w:val="decimal"/>
      <w:lvlText w:val=""/>
      <w:lvlJc w:val="left"/>
    </w:lvl>
    <w:lvl w:ilvl="6" w:tplc="8E2499DC">
      <w:numFmt w:val="decimal"/>
      <w:lvlText w:val=""/>
      <w:lvlJc w:val="left"/>
    </w:lvl>
    <w:lvl w:ilvl="7" w:tplc="2A4AC30A">
      <w:numFmt w:val="decimal"/>
      <w:lvlText w:val=""/>
      <w:lvlJc w:val="left"/>
    </w:lvl>
    <w:lvl w:ilvl="8" w:tplc="CEC29714">
      <w:numFmt w:val="decimal"/>
      <w:lvlText w:val=""/>
      <w:lvlJc w:val="left"/>
    </w:lvl>
  </w:abstractNum>
  <w:abstractNum w:abstractNumId="11" w15:restartNumberingAfterBreak="0">
    <w:nsid w:val="512F3169"/>
    <w:multiLevelType w:val="hybridMultilevel"/>
    <w:tmpl w:val="7DAEE3F8"/>
    <w:lvl w:ilvl="0" w:tplc="48DCB644">
      <w:start w:val="1"/>
      <w:numFmt w:val="decimal"/>
      <w:lvlText w:val="%1."/>
      <w:lvlJc w:val="left"/>
      <w:pPr>
        <w:tabs>
          <w:tab w:val="num" w:pos="900"/>
        </w:tabs>
        <w:ind w:left="540" w:hanging="360"/>
      </w:pPr>
    </w:lvl>
    <w:lvl w:ilvl="1" w:tplc="06A07D62">
      <w:numFmt w:val="decimal"/>
      <w:lvlText w:val=""/>
      <w:lvlJc w:val="left"/>
    </w:lvl>
    <w:lvl w:ilvl="2" w:tplc="957E727E">
      <w:numFmt w:val="decimal"/>
      <w:lvlText w:val=""/>
      <w:lvlJc w:val="left"/>
    </w:lvl>
    <w:lvl w:ilvl="3" w:tplc="BE52F240">
      <w:numFmt w:val="decimal"/>
      <w:lvlText w:val=""/>
      <w:lvlJc w:val="left"/>
    </w:lvl>
    <w:lvl w:ilvl="4" w:tplc="35E4BBB8">
      <w:numFmt w:val="decimal"/>
      <w:lvlText w:val=""/>
      <w:lvlJc w:val="left"/>
    </w:lvl>
    <w:lvl w:ilvl="5" w:tplc="1E80746E">
      <w:numFmt w:val="decimal"/>
      <w:lvlText w:val=""/>
      <w:lvlJc w:val="left"/>
    </w:lvl>
    <w:lvl w:ilvl="6" w:tplc="1B98F806">
      <w:numFmt w:val="decimal"/>
      <w:lvlText w:val=""/>
      <w:lvlJc w:val="left"/>
    </w:lvl>
    <w:lvl w:ilvl="7" w:tplc="9F66A0EC">
      <w:numFmt w:val="decimal"/>
      <w:lvlText w:val=""/>
      <w:lvlJc w:val="left"/>
    </w:lvl>
    <w:lvl w:ilvl="8" w:tplc="1286E106">
      <w:numFmt w:val="decimal"/>
      <w:lvlText w:val=""/>
      <w:lvlJc w:val="left"/>
    </w:lvl>
  </w:abstractNum>
  <w:abstractNum w:abstractNumId="12" w15:restartNumberingAfterBreak="0">
    <w:nsid w:val="617A48FD"/>
    <w:multiLevelType w:val="hybridMultilevel"/>
    <w:tmpl w:val="C982090E"/>
    <w:lvl w:ilvl="0" w:tplc="AFDC11A6">
      <w:start w:val="1"/>
      <w:numFmt w:val="bullet"/>
      <w:lvlText w:val=""/>
      <w:lvlJc w:val="left"/>
      <w:pPr>
        <w:tabs>
          <w:tab w:val="num" w:pos="900"/>
        </w:tabs>
        <w:ind w:left="540" w:hanging="360"/>
      </w:pPr>
      <w:rPr>
        <w:rFonts w:ascii="Symbol" w:hAnsi="Symbol" w:hint="default"/>
      </w:rPr>
    </w:lvl>
    <w:lvl w:ilvl="1" w:tplc="49104E18">
      <w:numFmt w:val="decimal"/>
      <w:lvlText w:val=""/>
      <w:lvlJc w:val="left"/>
    </w:lvl>
    <w:lvl w:ilvl="2" w:tplc="495476DE">
      <w:numFmt w:val="decimal"/>
      <w:lvlText w:val=""/>
      <w:lvlJc w:val="left"/>
    </w:lvl>
    <w:lvl w:ilvl="3" w:tplc="C7E2CDD6">
      <w:numFmt w:val="decimal"/>
      <w:lvlText w:val=""/>
      <w:lvlJc w:val="left"/>
    </w:lvl>
    <w:lvl w:ilvl="4" w:tplc="0156C08C">
      <w:numFmt w:val="decimal"/>
      <w:lvlText w:val=""/>
      <w:lvlJc w:val="left"/>
    </w:lvl>
    <w:lvl w:ilvl="5" w:tplc="6BE0DDA6">
      <w:numFmt w:val="decimal"/>
      <w:lvlText w:val=""/>
      <w:lvlJc w:val="left"/>
    </w:lvl>
    <w:lvl w:ilvl="6" w:tplc="EBF496AE">
      <w:numFmt w:val="decimal"/>
      <w:lvlText w:val=""/>
      <w:lvlJc w:val="left"/>
    </w:lvl>
    <w:lvl w:ilvl="7" w:tplc="17428E1E">
      <w:numFmt w:val="decimal"/>
      <w:lvlText w:val=""/>
      <w:lvlJc w:val="left"/>
    </w:lvl>
    <w:lvl w:ilvl="8" w:tplc="93128D22">
      <w:numFmt w:val="decimal"/>
      <w:lvlText w:val=""/>
      <w:lvlJc w:val="left"/>
    </w:lvl>
  </w:abstractNum>
  <w:abstractNum w:abstractNumId="13" w15:restartNumberingAfterBreak="0">
    <w:nsid w:val="66E10FB5"/>
    <w:multiLevelType w:val="hybridMultilevel"/>
    <w:tmpl w:val="88720406"/>
    <w:lvl w:ilvl="0" w:tplc="CEC600EE">
      <w:start w:val="1"/>
      <w:numFmt w:val="bullet"/>
      <w:lvlText w:val=""/>
      <w:lvlJc w:val="left"/>
      <w:pPr>
        <w:tabs>
          <w:tab w:val="num" w:pos="900"/>
        </w:tabs>
        <w:ind w:left="540" w:hanging="360"/>
      </w:pPr>
      <w:rPr>
        <w:rFonts w:ascii="Symbol" w:hAnsi="Symbol" w:hint="default"/>
      </w:rPr>
    </w:lvl>
    <w:lvl w:ilvl="1" w:tplc="2C3C5EEE">
      <w:numFmt w:val="decimal"/>
      <w:lvlText w:val=""/>
      <w:lvlJc w:val="left"/>
    </w:lvl>
    <w:lvl w:ilvl="2" w:tplc="61CAFABE">
      <w:numFmt w:val="decimal"/>
      <w:lvlText w:val=""/>
      <w:lvlJc w:val="left"/>
    </w:lvl>
    <w:lvl w:ilvl="3" w:tplc="E9A4EDDC">
      <w:numFmt w:val="decimal"/>
      <w:lvlText w:val=""/>
      <w:lvlJc w:val="left"/>
    </w:lvl>
    <w:lvl w:ilvl="4" w:tplc="AC9A1A74">
      <w:numFmt w:val="decimal"/>
      <w:lvlText w:val=""/>
      <w:lvlJc w:val="left"/>
    </w:lvl>
    <w:lvl w:ilvl="5" w:tplc="5C92EB44">
      <w:numFmt w:val="decimal"/>
      <w:lvlText w:val=""/>
      <w:lvlJc w:val="left"/>
    </w:lvl>
    <w:lvl w:ilvl="6" w:tplc="4112C10A">
      <w:numFmt w:val="decimal"/>
      <w:lvlText w:val=""/>
      <w:lvlJc w:val="left"/>
    </w:lvl>
    <w:lvl w:ilvl="7" w:tplc="2AD0C182">
      <w:numFmt w:val="decimal"/>
      <w:lvlText w:val=""/>
      <w:lvlJc w:val="left"/>
    </w:lvl>
    <w:lvl w:ilvl="8" w:tplc="2A06847C">
      <w:numFmt w:val="decimal"/>
      <w:lvlText w:val=""/>
      <w:lvlJc w:val="left"/>
    </w:lvl>
  </w:abstractNum>
  <w:abstractNum w:abstractNumId="14" w15:restartNumberingAfterBreak="0">
    <w:nsid w:val="6737749F"/>
    <w:multiLevelType w:val="hybridMultilevel"/>
    <w:tmpl w:val="839A0E8A"/>
    <w:lvl w:ilvl="0" w:tplc="44667DDA">
      <w:start w:val="1"/>
      <w:numFmt w:val="bullet"/>
      <w:lvlText w:val=""/>
      <w:lvlJc w:val="left"/>
      <w:pPr>
        <w:tabs>
          <w:tab w:val="num" w:pos="900"/>
        </w:tabs>
        <w:ind w:left="540" w:hanging="360"/>
      </w:pPr>
      <w:rPr>
        <w:rFonts w:ascii="Symbol" w:hAnsi="Symbol" w:hint="default"/>
      </w:rPr>
    </w:lvl>
    <w:lvl w:ilvl="1" w:tplc="A51E1F18">
      <w:numFmt w:val="decimal"/>
      <w:lvlText w:val=""/>
      <w:lvlJc w:val="left"/>
    </w:lvl>
    <w:lvl w:ilvl="2" w:tplc="63C4CCE6">
      <w:numFmt w:val="decimal"/>
      <w:lvlText w:val=""/>
      <w:lvlJc w:val="left"/>
    </w:lvl>
    <w:lvl w:ilvl="3" w:tplc="088E85CC">
      <w:numFmt w:val="decimal"/>
      <w:lvlText w:val=""/>
      <w:lvlJc w:val="left"/>
    </w:lvl>
    <w:lvl w:ilvl="4" w:tplc="7B306878">
      <w:numFmt w:val="decimal"/>
      <w:lvlText w:val=""/>
      <w:lvlJc w:val="left"/>
    </w:lvl>
    <w:lvl w:ilvl="5" w:tplc="54CA6344">
      <w:numFmt w:val="decimal"/>
      <w:lvlText w:val=""/>
      <w:lvlJc w:val="left"/>
    </w:lvl>
    <w:lvl w:ilvl="6" w:tplc="B516A200">
      <w:numFmt w:val="decimal"/>
      <w:lvlText w:val=""/>
      <w:lvlJc w:val="left"/>
    </w:lvl>
    <w:lvl w:ilvl="7" w:tplc="728A8854">
      <w:numFmt w:val="decimal"/>
      <w:lvlText w:val=""/>
      <w:lvlJc w:val="left"/>
    </w:lvl>
    <w:lvl w:ilvl="8" w:tplc="8C12F610">
      <w:numFmt w:val="decimal"/>
      <w:lvlText w:val=""/>
      <w:lvlJc w:val="left"/>
    </w:lvl>
  </w:abstractNum>
  <w:abstractNum w:abstractNumId="15" w15:restartNumberingAfterBreak="0">
    <w:nsid w:val="6C247680"/>
    <w:multiLevelType w:val="hybridMultilevel"/>
    <w:tmpl w:val="CFB855D6"/>
    <w:lvl w:ilvl="0" w:tplc="77DEDEA4">
      <w:start w:val="1"/>
      <w:numFmt w:val="bullet"/>
      <w:lvlText w:val=""/>
      <w:lvlJc w:val="left"/>
      <w:pPr>
        <w:tabs>
          <w:tab w:val="num" w:pos="900"/>
        </w:tabs>
        <w:ind w:left="540" w:hanging="360"/>
      </w:pPr>
      <w:rPr>
        <w:rFonts w:ascii="Symbol" w:hAnsi="Symbol" w:hint="default"/>
      </w:rPr>
    </w:lvl>
    <w:lvl w:ilvl="1" w:tplc="B2D4F146">
      <w:numFmt w:val="decimal"/>
      <w:lvlText w:val=""/>
      <w:lvlJc w:val="left"/>
    </w:lvl>
    <w:lvl w:ilvl="2" w:tplc="A7B41710">
      <w:numFmt w:val="decimal"/>
      <w:lvlText w:val=""/>
      <w:lvlJc w:val="left"/>
    </w:lvl>
    <w:lvl w:ilvl="3" w:tplc="3A8EB22C">
      <w:numFmt w:val="decimal"/>
      <w:lvlText w:val=""/>
      <w:lvlJc w:val="left"/>
    </w:lvl>
    <w:lvl w:ilvl="4" w:tplc="B50AE5D6">
      <w:numFmt w:val="decimal"/>
      <w:lvlText w:val=""/>
      <w:lvlJc w:val="left"/>
    </w:lvl>
    <w:lvl w:ilvl="5" w:tplc="DA800C7C">
      <w:numFmt w:val="decimal"/>
      <w:lvlText w:val=""/>
      <w:lvlJc w:val="left"/>
    </w:lvl>
    <w:lvl w:ilvl="6" w:tplc="3248691C">
      <w:numFmt w:val="decimal"/>
      <w:lvlText w:val=""/>
      <w:lvlJc w:val="left"/>
    </w:lvl>
    <w:lvl w:ilvl="7" w:tplc="E5EC1A16">
      <w:numFmt w:val="decimal"/>
      <w:lvlText w:val=""/>
      <w:lvlJc w:val="left"/>
    </w:lvl>
    <w:lvl w:ilvl="8" w:tplc="46A8FCD4">
      <w:numFmt w:val="decimal"/>
      <w:lvlText w:val=""/>
      <w:lvlJc w:val="left"/>
    </w:lvl>
  </w:abstractNum>
  <w:abstractNum w:abstractNumId="16" w15:restartNumberingAfterBreak="0">
    <w:nsid w:val="71675C40"/>
    <w:multiLevelType w:val="hybridMultilevel"/>
    <w:tmpl w:val="B8EE2150"/>
    <w:lvl w:ilvl="0" w:tplc="6B00501A">
      <w:start w:val="1"/>
      <w:numFmt w:val="bullet"/>
      <w:lvlText w:val=""/>
      <w:lvlJc w:val="left"/>
      <w:pPr>
        <w:tabs>
          <w:tab w:val="num" w:pos="900"/>
        </w:tabs>
        <w:ind w:left="540" w:hanging="360"/>
      </w:pPr>
      <w:rPr>
        <w:rFonts w:ascii="Symbol" w:hAnsi="Symbol" w:hint="default"/>
      </w:rPr>
    </w:lvl>
    <w:lvl w:ilvl="1" w:tplc="56E068F0">
      <w:numFmt w:val="decimal"/>
      <w:lvlText w:val=""/>
      <w:lvlJc w:val="left"/>
    </w:lvl>
    <w:lvl w:ilvl="2" w:tplc="1C10D8BA">
      <w:numFmt w:val="decimal"/>
      <w:lvlText w:val=""/>
      <w:lvlJc w:val="left"/>
    </w:lvl>
    <w:lvl w:ilvl="3" w:tplc="F6C0E290">
      <w:numFmt w:val="decimal"/>
      <w:lvlText w:val=""/>
      <w:lvlJc w:val="left"/>
    </w:lvl>
    <w:lvl w:ilvl="4" w:tplc="2984FF2C">
      <w:numFmt w:val="decimal"/>
      <w:lvlText w:val=""/>
      <w:lvlJc w:val="left"/>
    </w:lvl>
    <w:lvl w:ilvl="5" w:tplc="E8245C32">
      <w:numFmt w:val="decimal"/>
      <w:lvlText w:val=""/>
      <w:lvlJc w:val="left"/>
    </w:lvl>
    <w:lvl w:ilvl="6" w:tplc="4C42FF6A">
      <w:numFmt w:val="decimal"/>
      <w:lvlText w:val=""/>
      <w:lvlJc w:val="left"/>
    </w:lvl>
    <w:lvl w:ilvl="7" w:tplc="25BE414A">
      <w:numFmt w:val="decimal"/>
      <w:lvlText w:val=""/>
      <w:lvlJc w:val="left"/>
    </w:lvl>
    <w:lvl w:ilvl="8" w:tplc="0E181A8E">
      <w:numFmt w:val="decimal"/>
      <w:lvlText w:val=""/>
      <w:lvlJc w:val="left"/>
    </w:lvl>
  </w:abstractNum>
  <w:num w:numId="1" w16cid:durableId="1798913014">
    <w:abstractNumId w:val="8"/>
  </w:num>
  <w:num w:numId="2" w16cid:durableId="552546691">
    <w:abstractNumId w:val="3"/>
  </w:num>
  <w:num w:numId="3" w16cid:durableId="824199881">
    <w:abstractNumId w:val="16"/>
  </w:num>
  <w:num w:numId="4" w16cid:durableId="353700231">
    <w:abstractNumId w:val="12"/>
  </w:num>
  <w:num w:numId="5" w16cid:durableId="2099787065">
    <w:abstractNumId w:val="7"/>
  </w:num>
  <w:num w:numId="6" w16cid:durableId="608512770">
    <w:abstractNumId w:val="14"/>
  </w:num>
  <w:num w:numId="7" w16cid:durableId="1427531654">
    <w:abstractNumId w:val="1"/>
  </w:num>
  <w:num w:numId="8" w16cid:durableId="1248733103">
    <w:abstractNumId w:val="5"/>
  </w:num>
  <w:num w:numId="9" w16cid:durableId="1998220086">
    <w:abstractNumId w:val="0"/>
  </w:num>
  <w:num w:numId="10" w16cid:durableId="1737825853">
    <w:abstractNumId w:val="10"/>
  </w:num>
  <w:num w:numId="11" w16cid:durableId="1444227691">
    <w:abstractNumId w:val="15"/>
  </w:num>
  <w:num w:numId="12" w16cid:durableId="1814983329">
    <w:abstractNumId w:val="4"/>
  </w:num>
  <w:num w:numId="13" w16cid:durableId="833305127">
    <w:abstractNumId w:val="2"/>
  </w:num>
  <w:num w:numId="14" w16cid:durableId="174004383">
    <w:abstractNumId w:val="6"/>
  </w:num>
  <w:num w:numId="15" w16cid:durableId="8532710">
    <w:abstractNumId w:val="13"/>
  </w:num>
  <w:num w:numId="16" w16cid:durableId="999693223">
    <w:abstractNumId w:val="9"/>
  </w:num>
  <w:num w:numId="17" w16cid:durableId="379464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D65"/>
    <w:rsid w:val="001245E9"/>
    <w:rsid w:val="008328FE"/>
    <w:rsid w:val="008C5D65"/>
    <w:rsid w:val="00CF1C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1994F32"/>
  <w15:docId w15:val="{C1521452-7D32-F24A-9F97-0DFBAB408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ellanormale"/>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4070</Words>
  <Characters>23199</Characters>
  <Application>Microsoft Office Word</Application>
  <DocSecurity>0</DocSecurity>
  <Lines>193</Lines>
  <Paragraphs>54</Paragraphs>
  <ScaleCrop>false</ScaleCrop>
  <Company/>
  <LinksUpToDate>false</LinksUpToDate>
  <CharactersWithSpaces>27215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Stefano Genise</cp:lastModifiedBy>
  <cp:revision>2</cp:revision>
  <dcterms:created xsi:type="dcterms:W3CDTF">2026-05-08T22:14:00Z</dcterms:created>
  <dcterms:modified xsi:type="dcterms:W3CDTF">2026-05-08T22:14:00Z</dcterms:modified>
</cp:coreProperties>
</file>