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i w:val="0"/>
        </w:rPr>
        <w:t>NEXUS</w:t>
      </w:r>
    </w:p>
    <w:p>
      <w:pPr>
        <w:pStyle w:val="Title"/>
        <w:jc w:val="center"/>
      </w:pPr>
      <w:r>
        <w:rPr>
          <w:i w:val="0"/>
        </w:rPr>
        <w:t>THE RETURN PATH</w:t>
      </w:r>
    </w:p>
    <w:p>
      <w:pPr>
        <w:pStyle w:val="Subtitle"/>
        <w:jc w:val="center"/>
      </w:pPr>
      <w:r>
        <w:rPr>
          <w:i w:val="0"/>
        </w:rPr>
        <w:t>A Citizen Proposal for Fiscal Resilience, Memory, and Accountability</w:t>
      </w:r>
    </w:p>
    <w:p>
      <w:pPr>
        <w:jc w:val="center"/>
      </w:pPr>
      <w:r>
        <w:rPr>
          <w:i w:val="0"/>
        </w:rPr>
      </w:r>
    </w:p>
    <w:p>
      <w:pPr>
        <w:pStyle w:val="Subtitle"/>
        <w:jc w:val="center"/>
      </w:pPr>
      <w:r>
        <w:rPr>
          <w:i w:val="0"/>
        </w:rPr>
        <w:t>APA Academic Review Edition</w:t>
      </w:r>
    </w:p>
    <w:p>
      <w:pPr>
        <w:pStyle w:val="Subtitle"/>
        <w:jc w:val="center"/>
      </w:pPr>
      <w:r>
        <w:rPr>
          <w:i w:val="0"/>
        </w:rPr>
        <w:t>Version 0.2 - September 2026</w:t>
      </w:r>
    </w:p>
    <w:p>
      <w:pPr>
        <w:jc w:val="center"/>
      </w:pPr>
      <w:r>
        <w:rPr>
          <w:i w:val="0"/>
        </w:rPr>
      </w:r>
    </w:p>
    <w:p>
      <w:pPr>
        <w:pStyle w:val="Subtitle"/>
        <w:jc w:val="center"/>
      </w:pPr>
      <w:r>
        <w:rPr>
          <w:i w:val="0"/>
        </w:rPr>
        <w:t>Charles Baldwin</w:t>
      </w:r>
    </w:p>
    <w:p>
      <w:pPr>
        <w:pStyle w:val="Subtitle"/>
        <w:jc w:val="center"/>
      </w:pPr>
      <w:r>
        <w:rPr>
          <w:i w:val="0"/>
        </w:rPr>
        <w:t>Painted Post, New York</w:t>
      </w:r>
    </w:p>
    <w:p>
      <w:pPr>
        <w:jc w:val="center"/>
      </w:pPr>
      <w:r>
        <w:rPr>
          <w:i w:val="0"/>
        </w:rPr>
      </w:r>
    </w:p>
    <w:p>
      <w:pPr>
        <w:pStyle w:val="BlockQuote"/>
        <w:ind w:left="1440" w:right="1440"/>
        <w:jc w:val="center"/>
      </w:pPr>
      <w:r>
        <w:rPr>
          <w:i w:val="0"/>
        </w:rPr>
        <w:t>Conceived and directed by Charles Baldwin. Developed and subjected to adversarial testing with ChatGPT.</w:t>
      </w:r>
    </w:p>
    <w:p>
      <w:pPr>
        <w:jc w:val="center"/>
      </w:pPr>
      <w:r>
        <w:rPr>
          <w:i w:val="0"/>
        </w:rPr>
      </w:r>
    </w:p>
    <w:p>
      <w:pPr>
        <w:pStyle w:val="Small"/>
        <w:jc w:val="center"/>
      </w:pPr>
      <w:r>
        <w:rPr>
          <w:i w:val="0"/>
        </w:rPr>
        <w:t>Status: Academic review draft. This document has not undergone formal academic peer review and is not endorsed by any government institution.</w:t>
      </w:r>
    </w:p>
    <w:p>
      <w:pPr>
        <w:pStyle w:val="Small"/>
        <w:jc w:val="center"/>
      </w:pPr>
      <w:r>
        <w:rPr>
          <w:i w:val="0"/>
        </w:rPr>
        <w:t>The Field-State Comparative Lens (FSCL) is a separate patent-pending project. This document discusses only a conceptual influence from that work and intentionally omits technical implementation details.</w:t>
      </w:r>
    </w:p>
    <w:p>
      <w:r>
        <w:br w:type="page"/>
      </w:r>
    </w:p>
    <w:p>
      <w:pPr>
        <w:pStyle w:val="Heading1"/>
      </w:pPr>
      <w:r>
        <w:rPr>
          <w:i w:val="0"/>
        </w:rPr>
        <w:t>Abstract</w:t>
      </w:r>
    </w:p>
    <w:p>
      <w:pPr>
        <w:pStyle w:val="Abstract"/>
      </w:pPr>
      <w:r>
        <w:rPr>
          <w:i w:val="0"/>
        </w:rPr>
        <w:t>Nexus - The Return Path is a citizen-developed proposal for improving fiscal memory, accountability, incentive compatibility, and adaptive review in United States fiscal governance.</w:t>
      </w:r>
    </w:p>
    <w:p>
      <w:pPr>
        <w:pStyle w:val="Abstract"/>
      </w:pPr>
      <w:r>
        <w:rPr>
          <w:i w:val="0"/>
        </w:rPr>
        <w:t>The proposal does not attempt to create a new currency, impose a fixed debt target, automate taxes or benefit reductions, or transfer monetary authority from the Federal Reserve System. Instead, it asks whether existing institutions and official data can be connected through a transparent framework that preserves baselines, attributes exceptional borrowing, distinguishes facts from forecasts and scenarios, identifies who bears policy costs, and requires visible return-path analysis after major fiscal departures. The current edition adds a six-gate review architecture, an internal waypoint system, a broader field-state comparative perspective, stakeholder incentive testing, and an adaptive alignment loop intended to force transparent reconsideration when assumptions no longer fit reality. Nexus is presented as a proposal to test, not a claim to trust. Its recommended first step is a time-limited, nonbinding Shadow Nexus pilot with open methods, independent replication, adversarial review, and a statutory sunset unless material public value is demonstrated.</w:t>
      </w:r>
    </w:p>
    <w:p>
      <w:pPr>
        <w:pStyle w:val="Small"/>
      </w:pPr>
      <w:r>
        <w:rPr>
          <w:i w:val="0"/>
        </w:rPr>
        <w:t>Keywords: fiscal sustainability, public debt, fiscal rules, accountability, model risk, incentive compatibility, transparency, policy evaluation</w:t>
      </w:r>
    </w:p>
    <w:p>
      <w:pPr>
        <w:pStyle w:val="Heading2"/>
      </w:pPr>
      <w:r>
        <w:rPr>
          <w:i w:val="0"/>
        </w:rPr>
        <w:t>Development and Artificial-Intelligence Disclosure</w:t>
      </w:r>
    </w:p>
    <w:p>
      <w:r>
        <w:rPr>
          <w:i w:val="0"/>
        </w:rPr>
        <w:t>Nexus was conceived and directed by Charles Baldwin. The project was developed through extended research dialogue with ChatGPT, including conceptual development, quantitative checking, source identification, institutional analysis, historical comparison, editing, and adversarial testing. Earlier exploratory questions concerning historical purchasing power were also discussed with Grok. Artificial-intelligence systems are not presented as academic peer reviewers, independent validators, government institutions, or substitutes for qualified expert review. Their use is disclosed because transparency about the development process is itself consistent with the principles proposed by Nexus.</w:t>
      </w:r>
    </w:p>
    <w:p>
      <w:pPr>
        <w:pStyle w:val="Heading1"/>
      </w:pPr>
      <w:r>
        <w:rPr>
          <w:i w:val="0"/>
        </w:rPr>
        <w:t>Contents</w:t>
      </w:r>
    </w:p>
    <w:p>
      <w:pPr>
        <w:pStyle w:val="NoIndent"/>
        <w:spacing w:line="360" w:lineRule="auto"/>
        <w:ind w:left="360" w:hanging="259"/>
      </w:pPr>
      <w:r>
        <w:rPr>
          <w:b/>
        </w:rPr>
        <w:t xml:space="preserve">• </w:t>
      </w:r>
      <w:r>
        <w:t>Preface - Where Nexus Began</w:t>
      </w:r>
    </w:p>
    <w:p>
      <w:pPr>
        <w:pStyle w:val="NoIndent"/>
        <w:spacing w:line="360" w:lineRule="auto"/>
        <w:ind w:left="360" w:hanging="259"/>
      </w:pPr>
      <w:r>
        <w:rPr>
          <w:b/>
        </w:rPr>
        <w:t xml:space="preserve">• </w:t>
      </w:r>
      <w:r>
        <w:t>Executive Summary</w:t>
      </w:r>
    </w:p>
    <w:p>
      <w:pPr>
        <w:pStyle w:val="NoIndent"/>
        <w:spacing w:line="360" w:lineRule="auto"/>
        <w:ind w:left="360" w:hanging="259"/>
      </w:pPr>
      <w:r>
        <w:rPr>
          <w:b/>
        </w:rPr>
        <w:t xml:space="preserve">• </w:t>
      </w:r>
      <w:r>
        <w:t>1. The Problem Nexus Attempts to Address</w:t>
      </w:r>
    </w:p>
    <w:p>
      <w:pPr>
        <w:pStyle w:val="NoIndent"/>
        <w:spacing w:line="360" w:lineRule="auto"/>
        <w:ind w:left="360" w:hanging="259"/>
      </w:pPr>
      <w:r>
        <w:rPr>
          <w:b/>
        </w:rPr>
        <w:t xml:space="preserve">• </w:t>
      </w:r>
      <w:r>
        <w:t>2. Governing Doctrine and Assumption Discipline</w:t>
      </w:r>
    </w:p>
    <w:p>
      <w:pPr>
        <w:pStyle w:val="NoIndent"/>
        <w:spacing w:line="360" w:lineRule="auto"/>
        <w:ind w:left="360" w:hanging="259"/>
      </w:pPr>
      <w:r>
        <w:rPr>
          <w:b/>
        </w:rPr>
        <w:t xml:space="preserve">• </w:t>
      </w:r>
      <w:r>
        <w:t>3. The Waypoint System and Field-State Comparative Perspective</w:t>
      </w:r>
    </w:p>
    <w:p>
      <w:pPr>
        <w:pStyle w:val="NoIndent"/>
        <w:spacing w:line="360" w:lineRule="auto"/>
        <w:ind w:left="360" w:hanging="259"/>
      </w:pPr>
      <w:r>
        <w:rPr>
          <w:b/>
        </w:rPr>
        <w:t xml:space="preserve">• </w:t>
      </w:r>
      <w:r>
        <w:t>4. The Six Nexus Review Gates</w:t>
      </w:r>
    </w:p>
    <w:p>
      <w:pPr>
        <w:pStyle w:val="NoIndent"/>
        <w:spacing w:line="360" w:lineRule="auto"/>
        <w:ind w:left="360" w:hanging="259"/>
      </w:pPr>
      <w:r>
        <w:rPr>
          <w:b/>
        </w:rPr>
        <w:t xml:space="preserve">• </w:t>
      </w:r>
      <w:r>
        <w:t>5. Core Nexus Components</w:t>
      </w:r>
    </w:p>
    <w:p>
      <w:pPr>
        <w:pStyle w:val="NoIndent"/>
        <w:spacing w:line="360" w:lineRule="auto"/>
        <w:ind w:left="360" w:hanging="259"/>
      </w:pPr>
      <w:r>
        <w:rPr>
          <w:b/>
        </w:rPr>
        <w:t xml:space="preserve">• </w:t>
      </w:r>
      <w:r>
        <w:t>6. Debt Dynamics, Purchasing Power, and Financial-Market Constraints</w:t>
      </w:r>
    </w:p>
    <w:p>
      <w:pPr>
        <w:pStyle w:val="NoIndent"/>
        <w:spacing w:line="360" w:lineRule="auto"/>
        <w:ind w:left="360" w:hanging="259"/>
      </w:pPr>
      <w:r>
        <w:rPr>
          <w:b/>
        </w:rPr>
        <w:t xml:space="preserve">• </w:t>
      </w:r>
      <w:r>
        <w:t>7. The Shadow Nexus Pilot</w:t>
      </w:r>
    </w:p>
    <w:p>
      <w:pPr>
        <w:pStyle w:val="NoIndent"/>
        <w:spacing w:line="360" w:lineRule="auto"/>
        <w:ind w:left="360" w:hanging="259"/>
      </w:pPr>
      <w:r>
        <w:rPr>
          <w:b/>
        </w:rPr>
        <w:t xml:space="preserve">• </w:t>
      </w:r>
      <w:r>
        <w:t>8. Adaptive Alignment and Future Recalibration</w:t>
      </w:r>
    </w:p>
    <w:p>
      <w:pPr>
        <w:pStyle w:val="NoIndent"/>
        <w:spacing w:line="360" w:lineRule="auto"/>
        <w:ind w:left="360" w:hanging="259"/>
      </w:pPr>
      <w:r>
        <w:rPr>
          <w:b/>
        </w:rPr>
        <w:t xml:space="preserve">• </w:t>
      </w:r>
      <w:r>
        <w:t>9. Limitations, Unresolved Questions, and Conditions for Rejection</w:t>
      </w:r>
    </w:p>
    <w:p>
      <w:pPr>
        <w:pStyle w:val="NoIndent"/>
        <w:spacing w:line="360" w:lineRule="auto"/>
        <w:ind w:left="360" w:hanging="259"/>
      </w:pPr>
      <w:r>
        <w:rPr>
          <w:b/>
        </w:rPr>
        <w:t xml:space="preserve">• </w:t>
      </w:r>
      <w:r>
        <w:t>10. Research and External-Review Agenda</w:t>
      </w:r>
    </w:p>
    <w:p>
      <w:pPr>
        <w:pStyle w:val="NoIndent"/>
        <w:spacing w:line="360" w:lineRule="auto"/>
        <w:ind w:left="360" w:hanging="259"/>
      </w:pPr>
      <w:r>
        <w:rPr>
          <w:b/>
        </w:rPr>
        <w:t xml:space="preserve">• </w:t>
      </w:r>
      <w:r>
        <w:t>References</w:t>
      </w:r>
    </w:p>
    <w:p>
      <w:pPr>
        <w:pStyle w:val="NoIndent"/>
        <w:spacing w:line="360" w:lineRule="auto"/>
        <w:ind w:left="360" w:hanging="259"/>
      </w:pPr>
      <w:r>
        <w:rPr>
          <w:b/>
        </w:rPr>
        <w:t xml:space="preserve">• </w:t>
      </w:r>
      <w:r>
        <w:t>Appendix A. Glossary and Acronyms</w:t>
      </w:r>
    </w:p>
    <w:p>
      <w:pPr>
        <w:pStyle w:val="NoIndent"/>
        <w:spacing w:line="360" w:lineRule="auto"/>
        <w:ind w:left="360" w:hanging="259"/>
      </w:pPr>
      <w:r>
        <w:rPr>
          <w:b/>
        </w:rPr>
        <w:t xml:space="preserve">• </w:t>
      </w:r>
      <w:r>
        <w:t>Appendix B. Stakeholder Incentive Matrix</w:t>
      </w:r>
    </w:p>
    <w:p>
      <w:pPr>
        <w:pStyle w:val="NoIndent"/>
        <w:spacing w:line="360" w:lineRule="auto"/>
        <w:ind w:left="360" w:hanging="259"/>
      </w:pPr>
      <w:r>
        <w:rPr>
          <w:b/>
        </w:rPr>
        <w:t xml:space="preserve">• </w:t>
      </w:r>
      <w:r>
        <w:t>Appendix C. Adaptive Drift Trigger Register</w:t>
      </w:r>
    </w:p>
    <w:p>
      <w:pPr>
        <w:pStyle w:val="Heading1"/>
      </w:pPr>
      <w:r>
        <w:rPr>
          <w:i w:val="0"/>
        </w:rPr>
        <w:t>Preface - Where Nexus Began</w:t>
      </w:r>
    </w:p>
    <w:p>
      <w:r>
        <w:rPr>
          <w:i w:val="0"/>
        </w:rPr>
        <w:t>Nexus did not begin as a conventional fiscal-policy proposal. It began with a speculative question: Could the purchasing power of the United States dollar somehow be restored toward the value it possessed in the 1930s without requiring people to surrender the legitimate value they had already accumulated?</w:t>
      </w:r>
    </w:p>
    <w:p>
      <w:r>
        <w:rPr>
          <w:i w:val="0"/>
        </w:rPr>
        <w:t>Approximately a year and a half before this edition, I explored variants of that question through several extended question-and-answer sessions with Grok. My recollection of those exploratory sessions is that the conceptual result resembled a simultaneous rescaling. If the monetary unit became dramatically more valuable, the numerical quantities representing money, assets, and obligations could become correspondingly smaller. In simplified terms, both sides of the equation could draw down together.</w:t>
      </w:r>
    </w:p>
    <w:p>
      <w:r>
        <w:rPr>
          <w:i w:val="0"/>
        </w:rPr>
        <w:t>That was not the result I was looking for. Changing the scale of the ruler does not necessarily create more real wealth. If a person has $100,000 and a conversion changes the nominal figure to $10,000 while making each new unit ten times more valuable, the person has not necessarily become better off. The notation changed. The underlying economic position may not have changed.</w:t>
      </w:r>
    </w:p>
    <w:p>
      <w:pPr>
        <w:pStyle w:val="BlockQuote"/>
      </w:pPr>
      <w:r>
        <w:rPr>
          <w:i w:val="0"/>
        </w:rPr>
        <w:t>The more useful question became: Can purchasing power and economic resilience improve without requiring people to surrender the legitimate value they have already accumulated?</w:t>
      </w:r>
    </w:p>
    <w:p>
      <w:r>
        <w:rPr>
          <w:i w:val="0"/>
        </w:rPr>
        <w:t>That question introduced a principle that later became central to Nexus: durable reform must consider incentives. A system that requires large groups of people to accept avoidable losses will create strong incentives to resist, evade, reverse, or corrupt that system.</w:t>
      </w:r>
    </w:p>
    <w:p>
      <w:r>
        <w:rPr>
          <w:i w:val="0"/>
        </w:rPr>
        <w:t>In September 2026, I returned to the problem through an extended series of discussions with ChatGPT. I deliberately asked for thinking beyond the original framing. One early thought experiment placed a very large federal-debt figure - roughly $42 trillion as a simplified placeholder in the thought experiment, not as the later Nexus fiscal metric - onto something like a time slide rule and asked what would happen if it were conceptually moved backward toward 1930s monetary values. Could debt, purchasing power, economic output, monetary value, growth, and time be brought toward a healthier relationship?</w:t>
      </w:r>
    </w:p>
    <w:p>
      <w:r>
        <w:rPr>
          <w:i w:val="0"/>
        </w:rPr>
        <w:t>The idea was never that debt could literally be moved backward through time or that a change of units could make a real obligation disappear. It was an attempt to ask whether variables that appear incompatible at today's scale could converge gradually without destroying accumulated value.</w:t>
      </w:r>
    </w:p>
    <w:p>
      <w:r>
        <w:rPr>
          <w:i w:val="0"/>
        </w:rPr>
        <w:t>The proposal did not remain faithful to that original image. That is intentional. A zero-debt objective was rejected. A predetermined debt-to-Gross Domestic Product (GDP) target was rejected as a universal Nexus objective. Automatic monetary rules were rejected. Several assumptions were replaced by official projections. The treatment of inflation was corrected. Treasury-market functioning became an independent constraint. Stakeholder incentives became a formal review gate. The project moved from seeking one destination to building a process for selecting and testing waypoints.</w:t>
      </w:r>
    </w:p>
    <w:p>
      <w:pPr>
        <w:pStyle w:val="BlockQuote"/>
      </w:pPr>
      <w:r>
        <w:rPr>
          <w:i w:val="0"/>
        </w:rPr>
        <w:t>The original question explains where the inquiry began. The current framework describes where the inquiry has reached.</w:t>
      </w:r>
    </w:p>
    <w:p>
      <w:r>
        <w:rPr>
          <w:i w:val="0"/>
        </w:rPr>
        <w:t>A separate project, the Field-State Comparative Lens (FSCL), also influenced the architecture conceptually. The connection is not evidentiary. A waypoint asks what the system should do next from inside the system. A field-state perspective asks what is happening across the surrounding field while that movement occurs. In Nexus, those two views work together: local direction and broad comparison. The FSCL project does not scientifically validate Nexus, and Nexus does not depend on the FSCL technology.</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Baldwin, C. (2026), project-development record; Goodhart (1975); Lucas (1976).</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 origin story is primarily a record of how the proposal developed, not an empirical claim. Goodhart and Lucas matter because both warn that measured relationships can change when they become control targets or when policy changes behavior. Those warnings help explain why Nexus evolved away from one permanent target and toward repeated testing, transparent recalibration, and preserved history.</w:t>
            </w:r>
          </w:p>
        </w:tc>
      </w:tr>
    </w:tbl>
    <w:p/>
    <w:p>
      <w:pPr>
        <w:pStyle w:val="Heading1"/>
      </w:pPr>
      <w:r>
        <w:rPr>
          <w:i w:val="0"/>
        </w:rPr>
        <w:t>Executive Summary</w:t>
      </w:r>
    </w:p>
    <w:p>
      <w:r>
        <w:rPr>
          <w:i w:val="0"/>
        </w:rPr>
        <w:t>Nexus proposes a fiscal-memory and return-path architecture built around existing United States institutions rather than a new permanent economic authority. The central proposition is that major departures from sustainable fiscal conditions should remain visible after the event that caused them has passed, and that later policymakers should be required to explain whether and how a responsible return path is being pursued.</w:t>
      </w:r>
    </w:p>
    <w:p>
      <w:r>
        <w:rPr>
          <w:i w:val="0"/>
        </w:rPr>
        <w:t>The proposal is motivated by a difficult baseline. The Congressional Budget Office (CBO) projects a fiscal year 2026 deficit of $1.9 trillion, debt held by the public equal to 101% of GDP in 2026, 120% in 2036, and 175% in 2056 under current law. The Department of the Treasury estimates a 75-year fiscal gap equivalent to an average primary adjustment of 4.7% of GDP if reform begins in 2026, rising to 5.6% after a 10-year delay and 6.9% after a 20-year delay (Congressional Budget Office, 2026a, 2026b; U.S. Department of the Treasury, 2026a).</w:t>
      </w:r>
    </w:p>
    <w:p>
      <w:r>
        <w:rPr>
          <w:i w:val="0"/>
        </w:rPr>
        <w:t>Nexus does not claim that those projections prove a particular policy. It treats them as official reference points. The framework separates observed facts, official projections, official sensitivity analyses, Nexus scenarios, policy-design choices, and unresolved questions. It prohibits the presentation of a policy choice as though it were an economic fact.</w:t>
      </w:r>
    </w:p>
    <w:p>
      <w:r>
        <w:rPr>
          <w:i w:val="0"/>
        </w:rPr>
        <w:t>The current architecture has six gates: factual and mathematical integrity; institutional and legal compatibility; incentive compatibility and stakeholder durability; distinctive value and necessity; implementation, manipulation, and digital integrity; and historical, behavioral, and model-risk resilience. A material redesign produced by later gates must return to Gate 3 to test whether the revision creates new concentrated incentives to defeat or corrupt the system.</w:t>
      </w:r>
    </w:p>
    <w:p>
      <w:r>
        <w:rPr>
          <w:i w:val="0"/>
        </w:rPr>
        <w:t>Nexus also adds an internal waypoint system. The system does not assume that a 2026 target will remain appropriate in 2050 or 2100. Stable principles guide the selection of adaptive operational waypoints. A broader field-state comparative perspective then asks what happened elsewhere while the waypoint was pursued. The goal is to prevent local success from masking system-wide harm.</w:t>
      </w:r>
    </w:p>
    <w:p>
      <w:pPr>
        <w:pStyle w:val="BlockQuote"/>
      </w:pPr>
      <w:r>
        <w:rPr>
          <w:i w:val="0"/>
        </w:rPr>
        <w:t>Stable principles. Adaptive measurements. Preserved history. Explicit change.</w:t>
      </w:r>
    </w:p>
    <w:p>
      <w:r>
        <w:rPr>
          <w:i w:val="0"/>
        </w:rPr>
        <w:t>The proposed first implementation is a Shadow Nexus pilot. The pilot would have no authority to change taxes, benefits, Federal Reserve interest rates, Treasury security terms, deposits, contracts, or private property. It would publish methods, preserve data vintages, require at least two independent replications of material derived results, invite an adversarial Red Team to try to break the framework, and sunset automatically unless it demonstrates material value beyond existing reporting.</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Congressional Budget Office (2026a, 2026b, 2026c); U.S. Department of the Treasury (2026a); U.S. Government Accountability Office (2026a).</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establish the current official fiscal baseline, the longer-run scale of the sustainability problem, the sensitivity of federal finances to changing economic conditions, and the government's continuing financial-management limitations. They do not endorse Nexus; they define the environment in which Nexus would have to prove useful.</w:t>
            </w:r>
          </w:p>
        </w:tc>
      </w:tr>
    </w:tbl>
    <w:p/>
    <w:p>
      <w:pPr>
        <w:pStyle w:val="Heading1"/>
      </w:pPr>
      <w:r>
        <w:rPr>
          <w:i w:val="0"/>
        </w:rPr>
        <w:t>1. The Problem Nexus Attempts to Address</w:t>
      </w:r>
    </w:p>
    <w:p>
      <w:r>
        <w:rPr>
          <w:i w:val="0"/>
        </w:rPr>
        <w:t>The United States does not lack fiscal information. The CBO publishes budget baselines and long-term projections. The Department of the Treasury reports the government's financial position and manages borrowing. The Government Accountability Office (GAO) audits federal financial reporting and examines payment integrity, duplication, program performance, and control weaknesses. The Bureau of Economic Analysis (BEA), Bureau of Labor Statistics (BLS), Federal Reserve System, Social Security Administration, and Centers for Medicare &amp; Medicaid Services produce additional measurements and projections.</w:t>
      </w:r>
    </w:p>
    <w:p>
      <w:r>
        <w:rPr>
          <w:i w:val="0"/>
        </w:rPr>
        <w:t>The Nexus question is therefore not, "Can government produce one more report?" It is whether selected existing measurements can be connected through a durable accountability architecture that preserves decision-time baselines, exceptional borrowing histories, distributional effects, corrections, disagreements among official projections, and the reasoning that justified each major change.</w:t>
      </w:r>
    </w:p>
    <w:p>
      <w:r>
        <w:rPr>
          <w:i w:val="0"/>
        </w:rPr>
        <w:t>A modern fiscal system can rationally depart from ordinary conditions. Recession, war, pandemic, financial crisis, and severe natural disaster may justify extraordinary borrowing. Nexus does not propose that emergency borrowing be prohibited. It proposes that emergency accounting remain visible after the emergency ends.</w:t>
      </w:r>
    </w:p>
    <w:p>
      <w:r>
        <w:rPr>
          <w:i w:val="0"/>
        </w:rPr>
        <w:t>This distinction matters because a baseline can disappear without a debt disappearing. A new forecast can supersede an old forecast; a new policy can change a prior trajectory; revisions to economic data can alter the historical picture. If later observers see only the newest baseline, they can lose the ability to distinguish what policymakers knew at the time from what became known later.</w:t>
      </w:r>
    </w:p>
    <w:p>
      <w:pPr>
        <w:pStyle w:val="Heading2"/>
      </w:pPr>
      <w:r>
        <w:rPr>
          <w:i w:val="0"/>
        </w:rPr>
        <w:t>1.1 Current Fiscal Reference Points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E8EDF3"/>
          </w:tcPr>
          <w:p>
            <w:r>
              <w:rPr>
                <w:rFonts w:ascii="Times New Roman" w:hAnsi="Times New Roman"/>
                <w:b/>
                <w:sz w:val="17"/>
              </w:rPr>
              <w:t>Measure</w:t>
            </w:r>
          </w:p>
        </w:tc>
        <w:tc>
          <w:tcPr>
            <w:tcW w:type="dxa" w:w="3168"/>
            <w:shd w:fill="E8EDF3"/>
          </w:tcPr>
          <w:p>
            <w:r>
              <w:rPr>
                <w:rFonts w:ascii="Times New Roman" w:hAnsi="Times New Roman"/>
                <w:b/>
                <w:sz w:val="17"/>
              </w:rPr>
              <w:t>Current official reference</w:t>
            </w:r>
          </w:p>
        </w:tc>
        <w:tc>
          <w:tcPr>
            <w:tcW w:type="dxa" w:w="3312"/>
            <w:shd w:fill="E8EDF3"/>
          </w:tcPr>
          <w:p>
            <w:r>
              <w:rPr>
                <w:rFonts w:ascii="Times New Roman" w:hAnsi="Times New Roman"/>
                <w:b/>
                <w:sz w:val="17"/>
              </w:rPr>
              <w:t>Nexus treatment</w:t>
            </w:r>
          </w:p>
        </w:tc>
      </w:tr>
      <w:tr>
        <w:tc>
          <w:tcPr>
            <w:tcW w:type="dxa" w:w="2880"/>
          </w:tcPr>
          <w:p>
            <w:pPr>
              <w:spacing w:line="240" w:lineRule="auto" w:after="0"/>
            </w:pPr>
            <w:r>
              <w:rPr>
                <w:rFonts w:ascii="Times New Roman" w:hAnsi="Times New Roman"/>
                <w:sz w:val="17"/>
              </w:rPr>
              <w:t>FY2026 federal deficit</w:t>
            </w:r>
          </w:p>
        </w:tc>
        <w:tc>
          <w:tcPr>
            <w:tcW w:type="dxa" w:w="3168"/>
          </w:tcPr>
          <w:p>
            <w:pPr>
              <w:spacing w:line="240" w:lineRule="auto" w:after="0"/>
            </w:pPr>
            <w:r>
              <w:rPr>
                <w:rFonts w:ascii="Times New Roman" w:hAnsi="Times New Roman"/>
                <w:sz w:val="17"/>
              </w:rPr>
              <w:t>$1.9 trillion; 5.8% of GDP</w:t>
            </w:r>
          </w:p>
        </w:tc>
        <w:tc>
          <w:tcPr>
            <w:tcW w:type="dxa" w:w="3312"/>
          </w:tcPr>
          <w:p>
            <w:pPr>
              <w:spacing w:line="240" w:lineRule="auto" w:after="0"/>
            </w:pPr>
            <w:r>
              <w:rPr>
                <w:rFonts w:ascii="Times New Roman" w:hAnsi="Times New Roman"/>
                <w:sz w:val="17"/>
              </w:rPr>
              <w:t>Official projection, not realized outcome</w:t>
            </w:r>
          </w:p>
        </w:tc>
      </w:tr>
      <w:tr>
        <w:tc>
          <w:tcPr>
            <w:tcW w:type="dxa" w:w="2880"/>
          </w:tcPr>
          <w:p>
            <w:pPr>
              <w:spacing w:line="240" w:lineRule="auto" w:after="0"/>
            </w:pPr>
            <w:r>
              <w:rPr>
                <w:rFonts w:ascii="Times New Roman" w:hAnsi="Times New Roman"/>
                <w:sz w:val="17"/>
              </w:rPr>
              <w:t>Debt held by the public, 2026</w:t>
            </w:r>
          </w:p>
        </w:tc>
        <w:tc>
          <w:tcPr>
            <w:tcW w:type="dxa" w:w="3168"/>
          </w:tcPr>
          <w:p>
            <w:pPr>
              <w:spacing w:line="240" w:lineRule="auto" w:after="0"/>
            </w:pPr>
            <w:r>
              <w:rPr>
                <w:rFonts w:ascii="Times New Roman" w:hAnsi="Times New Roman"/>
                <w:sz w:val="17"/>
              </w:rPr>
              <w:t>101% of GDP</w:t>
            </w:r>
          </w:p>
        </w:tc>
        <w:tc>
          <w:tcPr>
            <w:tcW w:type="dxa" w:w="3312"/>
          </w:tcPr>
          <w:p>
            <w:pPr>
              <w:spacing w:line="240" w:lineRule="auto" w:after="0"/>
            </w:pPr>
            <w:r>
              <w:rPr>
                <w:rFonts w:ascii="Times New Roman" w:hAnsi="Times New Roman"/>
                <w:sz w:val="17"/>
              </w:rPr>
              <w:t>Primary fiscal-risk reference</w:t>
            </w:r>
          </w:p>
        </w:tc>
      </w:tr>
      <w:tr>
        <w:tc>
          <w:tcPr>
            <w:tcW w:type="dxa" w:w="2880"/>
          </w:tcPr>
          <w:p>
            <w:pPr>
              <w:spacing w:line="240" w:lineRule="auto" w:after="0"/>
            </w:pPr>
            <w:r>
              <w:rPr>
                <w:rFonts w:ascii="Times New Roman" w:hAnsi="Times New Roman"/>
                <w:sz w:val="17"/>
              </w:rPr>
              <w:t>Debt held by the public, 2036</w:t>
            </w:r>
          </w:p>
        </w:tc>
        <w:tc>
          <w:tcPr>
            <w:tcW w:type="dxa" w:w="3168"/>
          </w:tcPr>
          <w:p>
            <w:pPr>
              <w:spacing w:line="240" w:lineRule="auto" w:after="0"/>
            </w:pPr>
            <w:r>
              <w:rPr>
                <w:rFonts w:ascii="Times New Roman" w:hAnsi="Times New Roman"/>
                <w:sz w:val="17"/>
              </w:rPr>
              <w:t>120% of GDP</w:t>
            </w:r>
          </w:p>
        </w:tc>
        <w:tc>
          <w:tcPr>
            <w:tcW w:type="dxa" w:w="3312"/>
          </w:tcPr>
          <w:p>
            <w:pPr>
              <w:spacing w:line="240" w:lineRule="auto" w:after="0"/>
            </w:pPr>
            <w:r>
              <w:rPr>
                <w:rFonts w:ascii="Times New Roman" w:hAnsi="Times New Roman"/>
                <w:sz w:val="17"/>
              </w:rPr>
              <w:t>Current-law baseline</w:t>
            </w:r>
          </w:p>
        </w:tc>
      </w:tr>
      <w:tr>
        <w:tc>
          <w:tcPr>
            <w:tcW w:type="dxa" w:w="2880"/>
          </w:tcPr>
          <w:p>
            <w:pPr>
              <w:spacing w:line="240" w:lineRule="auto" w:after="0"/>
            </w:pPr>
            <w:r>
              <w:rPr>
                <w:rFonts w:ascii="Times New Roman" w:hAnsi="Times New Roman"/>
                <w:sz w:val="17"/>
              </w:rPr>
              <w:t>Debt held by the public, 2056</w:t>
            </w:r>
          </w:p>
        </w:tc>
        <w:tc>
          <w:tcPr>
            <w:tcW w:type="dxa" w:w="3168"/>
          </w:tcPr>
          <w:p>
            <w:pPr>
              <w:spacing w:line="240" w:lineRule="auto" w:after="0"/>
            </w:pPr>
            <w:r>
              <w:rPr>
                <w:rFonts w:ascii="Times New Roman" w:hAnsi="Times New Roman"/>
                <w:sz w:val="17"/>
              </w:rPr>
              <w:t>175% of GDP</w:t>
            </w:r>
          </w:p>
        </w:tc>
        <w:tc>
          <w:tcPr>
            <w:tcW w:type="dxa" w:w="3312"/>
          </w:tcPr>
          <w:p>
            <w:pPr>
              <w:spacing w:line="240" w:lineRule="auto" w:after="0"/>
            </w:pPr>
            <w:r>
              <w:rPr>
                <w:rFonts w:ascii="Times New Roman" w:hAnsi="Times New Roman"/>
                <w:sz w:val="17"/>
              </w:rPr>
              <w:t>Long-horizon official reference</w:t>
            </w:r>
          </w:p>
        </w:tc>
      </w:tr>
      <w:tr>
        <w:tc>
          <w:tcPr>
            <w:tcW w:type="dxa" w:w="2880"/>
          </w:tcPr>
          <w:p>
            <w:pPr>
              <w:spacing w:line="240" w:lineRule="auto" w:after="0"/>
            </w:pPr>
            <w:r>
              <w:rPr>
                <w:rFonts w:ascii="Times New Roman" w:hAnsi="Times New Roman"/>
                <w:sz w:val="17"/>
              </w:rPr>
              <w:t>75-year fiscal gap</w:t>
            </w:r>
          </w:p>
        </w:tc>
        <w:tc>
          <w:tcPr>
            <w:tcW w:type="dxa" w:w="3168"/>
          </w:tcPr>
          <w:p>
            <w:pPr>
              <w:spacing w:line="240" w:lineRule="auto" w:after="0"/>
            </w:pPr>
            <w:r>
              <w:rPr>
                <w:rFonts w:ascii="Times New Roman" w:hAnsi="Times New Roman"/>
                <w:sz w:val="17"/>
              </w:rPr>
              <w:t>4.7% of GDP if reform begins in 2026</w:t>
            </w:r>
          </w:p>
        </w:tc>
        <w:tc>
          <w:tcPr>
            <w:tcW w:type="dxa" w:w="3312"/>
          </w:tcPr>
          <w:p>
            <w:pPr>
              <w:spacing w:line="240" w:lineRule="auto" w:after="0"/>
            </w:pPr>
            <w:r>
              <w:rPr>
                <w:rFonts w:ascii="Times New Roman" w:hAnsi="Times New Roman"/>
                <w:sz w:val="17"/>
              </w:rPr>
              <w:t>Treasury sustainability estimate</w:t>
            </w:r>
          </w:p>
        </w:tc>
      </w:tr>
      <w:tr>
        <w:tc>
          <w:tcPr>
            <w:tcW w:type="dxa" w:w="2880"/>
          </w:tcPr>
          <w:p>
            <w:pPr>
              <w:spacing w:line="240" w:lineRule="auto" w:after="0"/>
            </w:pPr>
            <w:r>
              <w:rPr>
                <w:rFonts w:ascii="Times New Roman" w:hAnsi="Times New Roman"/>
                <w:sz w:val="17"/>
              </w:rPr>
              <w:t>10-year delay</w:t>
            </w:r>
          </w:p>
        </w:tc>
        <w:tc>
          <w:tcPr>
            <w:tcW w:type="dxa" w:w="3168"/>
          </w:tcPr>
          <w:p>
            <w:pPr>
              <w:spacing w:line="240" w:lineRule="auto" w:after="0"/>
            </w:pPr>
            <w:r>
              <w:rPr>
                <w:rFonts w:ascii="Times New Roman" w:hAnsi="Times New Roman"/>
                <w:sz w:val="17"/>
              </w:rPr>
              <w:t>5.6% of GDP</w:t>
            </w:r>
          </w:p>
        </w:tc>
        <w:tc>
          <w:tcPr>
            <w:tcW w:type="dxa" w:w="3312"/>
          </w:tcPr>
          <w:p>
            <w:pPr>
              <w:spacing w:line="240" w:lineRule="auto" w:after="0"/>
            </w:pPr>
            <w:r>
              <w:rPr>
                <w:rFonts w:ascii="Times New Roman" w:hAnsi="Times New Roman"/>
                <w:sz w:val="17"/>
              </w:rPr>
              <w:t>Treasury delay-cost reference</w:t>
            </w:r>
          </w:p>
        </w:tc>
      </w:tr>
      <w:tr>
        <w:tc>
          <w:tcPr>
            <w:tcW w:type="dxa" w:w="2880"/>
          </w:tcPr>
          <w:p>
            <w:pPr>
              <w:spacing w:line="240" w:lineRule="auto" w:after="0"/>
            </w:pPr>
            <w:r>
              <w:rPr>
                <w:rFonts w:ascii="Times New Roman" w:hAnsi="Times New Roman"/>
                <w:sz w:val="17"/>
              </w:rPr>
              <w:t>20-year delay</w:t>
            </w:r>
          </w:p>
        </w:tc>
        <w:tc>
          <w:tcPr>
            <w:tcW w:type="dxa" w:w="3168"/>
          </w:tcPr>
          <w:p>
            <w:pPr>
              <w:spacing w:line="240" w:lineRule="auto" w:after="0"/>
            </w:pPr>
            <w:r>
              <w:rPr>
                <w:rFonts w:ascii="Times New Roman" w:hAnsi="Times New Roman"/>
                <w:sz w:val="17"/>
              </w:rPr>
              <w:t>6.9% of GDP</w:t>
            </w:r>
          </w:p>
        </w:tc>
        <w:tc>
          <w:tcPr>
            <w:tcW w:type="dxa" w:w="3312"/>
          </w:tcPr>
          <w:p>
            <w:pPr>
              <w:spacing w:line="240" w:lineRule="auto" w:after="0"/>
            </w:pPr>
            <w:r>
              <w:rPr>
                <w:rFonts w:ascii="Times New Roman" w:hAnsi="Times New Roman"/>
                <w:sz w:val="17"/>
              </w:rPr>
              <w:t>Treasury delay-cost reference</w:t>
            </w:r>
          </w:p>
        </w:tc>
      </w:tr>
    </w:tbl>
    <w:p/>
    <w:p>
      <w:r>
        <w:rPr>
          <w:i w:val="0"/>
        </w:rPr>
        <w:t>These figures are not a Nexus forecast. They are official projections and estimates used to define the scale of the problem. The distinction is important because the framework is designed around evidence hierarchy: where authoritative institutions already publish a relevant number, Nexus should not invent a more convenient substitute.</w:t>
      </w:r>
    </w:p>
    <w:p>
      <w:pPr>
        <w:pStyle w:val="Heading2"/>
      </w:pPr>
      <w:r>
        <w:rPr>
          <w:i w:val="0"/>
        </w:rPr>
        <w:t>1.2 The Missing Function: Fiscal Memory and Correction Memory</w:t>
      </w:r>
    </w:p>
    <w:p>
      <w:r>
        <w:rPr>
          <w:i w:val="0"/>
        </w:rPr>
        <w:t>The distinctive claim of Nexus is narrower than "government does not know its finances." Government does know and publish a great deal. The proposed value-add is persistent correction memory: preserving what happened, why it happened, what assumptions supported the decision, who bore the costs, what changed afterward, and whether a return path was ever proposed or completed.</w:t>
      </w:r>
    </w:p>
    <w:p>
      <w:r>
        <w:rPr>
          <w:i w:val="0"/>
        </w:rPr>
        <w:t>This creates a testable standard. If a Shadow Nexus pilot merely republishes information that citizens, lawmakers, analysts, and agencies can already obtain equally well elsewhere, the pilot should be terminated. A framework that adds no distinct decision value should not become another permanent bureaucracy.</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Congressional Budget Office (2026a, 2026b); U.S. Department of the Treasury (2026a, 2026b); U.S. Government Accountability Office (2026a).</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CBO and Treasury already diagnose long-term fiscal pressure. GAO documents both fiscal unsustainability and material weaknesses in governmentwide financial reporting. These sources support the premise that the problem is not a total absence of information. Nexus must therefore demonstrate value through integration, preserved history, and correction visibility rather than by duplicating agency work.</w:t>
            </w:r>
          </w:p>
        </w:tc>
      </w:tr>
    </w:tbl>
    <w:p/>
    <w:p>
      <w:pPr>
        <w:pStyle w:val="Heading1"/>
      </w:pPr>
      <w:r>
        <w:rPr>
          <w:i w:val="0"/>
        </w:rPr>
        <w:t>2. Governing Doctrine and Assumption Discipline</w:t>
      </w:r>
    </w:p>
    <w:p>
      <w:r>
        <w:rPr>
          <w:i w:val="0"/>
        </w:rPr>
        <w:t>Nexus is designed to separate what is known from what is assumed. That separation is not cosmetic. Many policy arguments fail because a projection is presented as a fact, a scenario is presented as a forecast, or a political preference is disguised as a technical requirement.</w:t>
      </w:r>
    </w:p>
    <w:p>
      <w:pPr>
        <w:pStyle w:val="Heading2"/>
      </w:pPr>
      <w:r>
        <w:rPr>
          <w:i w:val="0"/>
        </w:rPr>
        <w:t>2.1 Six Information Classes</w:t>
      </w:r>
    </w:p>
    <w:p>
      <w:pPr>
        <w:pStyle w:val="NoIndent"/>
        <w:spacing w:line="360" w:lineRule="auto"/>
      </w:pPr>
      <w:r>
        <w:rPr>
          <w:b/>
        </w:rPr>
        <w:t xml:space="preserve">A. Observed or Reported Fact: </w:t>
      </w:r>
      <w:r>
        <w:t>A value reported as realized or measured, with its source date and revision status.</w:t>
      </w:r>
    </w:p>
    <w:p>
      <w:pPr>
        <w:pStyle w:val="NoIndent"/>
        <w:spacing w:line="360" w:lineRule="auto"/>
      </w:pPr>
      <w:r>
        <w:rPr>
          <w:b/>
        </w:rPr>
        <w:t xml:space="preserve">B. Official Projection: </w:t>
      </w:r>
      <w:r>
        <w:t>A baseline projection from an authoritative institution. It is a conditional forecast, not certainty.</w:t>
      </w:r>
    </w:p>
    <w:p>
      <w:pPr>
        <w:pStyle w:val="NoIndent"/>
        <w:spacing w:line="360" w:lineRule="auto"/>
      </w:pPr>
      <w:r>
        <w:rPr>
          <w:b/>
        </w:rPr>
        <w:t xml:space="preserve">C. Official Sensitivity or Uncertainty Range: </w:t>
      </w:r>
      <w:r>
        <w:t>A published alternative, probability band, or rule of thumb from an authoritative institution.</w:t>
      </w:r>
    </w:p>
    <w:p>
      <w:pPr>
        <w:pStyle w:val="NoIndent"/>
        <w:spacing w:line="360" w:lineRule="auto"/>
      </w:pPr>
      <w:r>
        <w:rPr>
          <w:b/>
        </w:rPr>
        <w:t xml:space="preserve">D. Scenario Assumption: </w:t>
      </w:r>
      <w:r>
        <w:t>A value introduced only because no authoritative source answers the question. It must be labeled, justified, ranged, and sensitivity-tested.</w:t>
      </w:r>
    </w:p>
    <w:p>
      <w:pPr>
        <w:pStyle w:val="NoIndent"/>
        <w:spacing w:line="360" w:lineRule="auto"/>
      </w:pPr>
      <w:r>
        <w:rPr>
          <w:b/>
        </w:rPr>
        <w:t xml:space="preserve">E. Policy-Design Choice: </w:t>
      </w:r>
      <w:r>
        <w:t>A proposed duration, threshold, corridor, trigger, governance rule, or sunset. It is neither a fact nor an economic forecast.</w:t>
      </w:r>
    </w:p>
    <w:p>
      <w:pPr>
        <w:pStyle w:val="NoIndent"/>
        <w:spacing w:line="360" w:lineRule="auto"/>
      </w:pPr>
      <w:r>
        <w:rPr>
          <w:b/>
        </w:rPr>
        <w:t xml:space="preserve">F. Unresolved: </w:t>
      </w:r>
      <w:r>
        <w:t>A quantity or rule for which Nexus does not yet have a defensible value. It remains unresolved rather than being filled with a convenient number.</w:t>
      </w:r>
    </w:p>
    <w:p>
      <w:pPr>
        <w:pStyle w:val="Heading2"/>
      </w:pPr>
      <w:r>
        <w:rPr>
          <w:i w:val="0"/>
        </w:rPr>
        <w:t>2.2 Evidence Hierarchy</w:t>
      </w:r>
    </w:p>
    <w:p>
      <w:pPr>
        <w:pStyle w:val="NoIndent"/>
        <w:spacing w:line="360" w:lineRule="auto"/>
        <w:ind w:left="403" w:hanging="403"/>
      </w:pPr>
      <w:r>
        <w:rPr>
          <w:b/>
        </w:rPr>
        <w:t xml:space="preserve">1. </w:t>
      </w:r>
      <w:r>
        <w:t>Audited or official realized data.</w:t>
      </w:r>
    </w:p>
    <w:p>
      <w:pPr>
        <w:pStyle w:val="NoIndent"/>
        <w:spacing w:line="360" w:lineRule="auto"/>
        <w:ind w:left="403" w:hanging="403"/>
      </w:pPr>
      <w:r>
        <w:rPr>
          <w:b/>
        </w:rPr>
        <w:t xml:space="preserve">2. </w:t>
      </w:r>
      <w:r>
        <w:t>Official baseline projections.</w:t>
      </w:r>
    </w:p>
    <w:p>
      <w:pPr>
        <w:pStyle w:val="NoIndent"/>
        <w:spacing w:line="360" w:lineRule="auto"/>
        <w:ind w:left="403" w:hanging="403"/>
      </w:pPr>
      <w:r>
        <w:rPr>
          <w:b/>
        </w:rPr>
        <w:t xml:space="preserve">3. </w:t>
      </w:r>
      <w:r>
        <w:t>Official uncertainty or sensitivity analysis.</w:t>
      </w:r>
    </w:p>
    <w:p>
      <w:pPr>
        <w:pStyle w:val="NoIndent"/>
        <w:spacing w:line="360" w:lineRule="auto"/>
        <w:ind w:left="403" w:hanging="403"/>
      </w:pPr>
      <w:r>
        <w:rPr>
          <w:b/>
        </w:rPr>
        <w:t xml:space="preserve">4. </w:t>
      </w:r>
      <w:r>
        <w:t>Multiple official projections shown side by side when they disagree.</w:t>
      </w:r>
    </w:p>
    <w:p>
      <w:pPr>
        <w:pStyle w:val="NoIndent"/>
        <w:spacing w:line="360" w:lineRule="auto"/>
        <w:ind w:left="403" w:hanging="403"/>
      </w:pPr>
      <w:r>
        <w:rPr>
          <w:b/>
        </w:rPr>
        <w:t xml:space="preserve">5. </w:t>
      </w:r>
      <w:r>
        <w:t>Historical empirical distributions when prospective official ranges are unavailable.</w:t>
      </w:r>
    </w:p>
    <w:p>
      <w:pPr>
        <w:pStyle w:val="NoIndent"/>
        <w:spacing w:line="360" w:lineRule="auto"/>
        <w:ind w:left="403" w:hanging="403"/>
      </w:pPr>
      <w:r>
        <w:rPr>
          <w:b/>
        </w:rPr>
        <w:t xml:space="preserve">6. </w:t>
      </w:r>
      <w:r>
        <w:t>Nexus scenario assumptions only when higher-priority evidence cannot answer the question.</w:t>
      </w:r>
    </w:p>
    <w:p>
      <w:pPr>
        <w:pStyle w:val="Heading2"/>
      </w:pPr>
      <w:r>
        <w:rPr>
          <w:i w:val="0"/>
        </w:rPr>
        <w:t>2.3 No Master Score</w:t>
      </w:r>
    </w:p>
    <w:p>
      <w:r>
        <w:rPr>
          <w:i w:val="0"/>
        </w:rPr>
        <w:t>Nexus rejects a single composite measure of national success. Fiscal sustainability, household purchasing power, financial-market functionality, distributional effects, institutional integrity, and emergency resilience are not interchangeable dimensions. Compressing them into one score would require political weights that could be mistaken for scientific constants and would create a target vulnerable to gaming.</w:t>
      </w:r>
    </w:p>
    <w:p>
      <w:pPr>
        <w:pStyle w:val="Heading2"/>
      </w:pPr>
      <w:r>
        <w:rPr>
          <w:i w:val="0"/>
        </w:rPr>
        <w:t>2.4 No Automatic Policy Authority</w:t>
      </w:r>
    </w:p>
    <w:p>
      <w:r>
        <w:rPr>
          <w:i w:val="0"/>
        </w:rPr>
        <w:t>Nexus measurement does not automatically become Nexus policy. No indicator should automatically raise taxes, reduce benefits, change eligibility, set interest rates, rewrite contracts, alter Treasury security terms, confiscate assets, or trigger sequestration. A material deviation may trigger disclosure, analysis, alternative correction paths, and public decision. It does not trigger automatic punishment.</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Congressional Budget Office (2026c); Croushore and Stark (2001); Goodhart (1975); Lucas (1976).</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CBO demonstrates the value of explicit sensitivity analysis instead of pretending a baseline is certain. Croushore and Stark show why real-time data vintages matter. Goodhart warns that a measure can lose usefulness when it becomes a control target. Lucas warns that relationships estimated under one policy regime may change when policy changes behavior. Together these sources support Nexus's insistence on labeled assumptions, multiple indicators, preserved data vintages, and periodic revalidation.</w:t>
            </w:r>
          </w:p>
        </w:tc>
      </w:tr>
    </w:tbl>
    <w:p/>
    <w:p>
      <w:pPr>
        <w:pStyle w:val="Heading1"/>
      </w:pPr>
      <w:r>
        <w:rPr>
          <w:i w:val="0"/>
        </w:rPr>
        <w:t>3. The Waypoint System and Field-State Comparative Perspective</w:t>
      </w:r>
    </w:p>
    <w:p>
      <w:r>
        <w:rPr>
          <w:i w:val="0"/>
        </w:rPr>
        <w:t>A return path can become too rigid if it assumes that the future destination is permanently known. Nexus therefore adds an internal waypoint system. A waypoint is not the final destination. It is the next defensible condition toward which the system should move given the evidence and constraints currently available.</w:t>
      </w:r>
    </w:p>
    <w:p>
      <w:pPr>
        <w:pStyle w:val="BlockQuote"/>
      </w:pPr>
      <w:r>
        <w:rPr>
          <w:i w:val="0"/>
        </w:rPr>
        <w:t>A waypoint asks: Given the conditions that exist now, what is the next defensible condition toward which the system should move?</w:t>
      </w:r>
    </w:p>
    <w:p>
      <w:pPr>
        <w:pStyle w:val="Heading2"/>
      </w:pPr>
      <w:r>
        <w:rPr>
          <w:i w:val="0"/>
        </w:rPr>
        <w:t>3.1 The Waypoint Compass</w:t>
      </w:r>
    </w:p>
    <w:p>
      <w:r>
        <w:rPr>
          <w:i w:val="0"/>
        </w:rPr>
        <w:t>Operational waypoints may change. The principles used to judge them should be much more durable. Nexus currently proposes the following compass dimensions, none of which is a master score:</w:t>
      </w:r>
    </w:p>
    <w:p>
      <w:pPr>
        <w:pStyle w:val="NoIndent"/>
        <w:spacing w:line="360" w:lineRule="auto"/>
        <w:ind w:left="360" w:hanging="259"/>
      </w:pPr>
      <w:r>
        <w:rPr>
          <w:b/>
        </w:rPr>
        <w:t xml:space="preserve">• </w:t>
      </w:r>
      <w:r>
        <w:t>Human well-being - health, security, dignity, opportunity, and the ability to build worthwhile lives.</w:t>
      </w:r>
    </w:p>
    <w:p>
      <w:pPr>
        <w:pStyle w:val="NoIndent"/>
        <w:spacing w:line="360" w:lineRule="auto"/>
        <w:ind w:left="360" w:hanging="259"/>
      </w:pPr>
      <w:r>
        <w:rPr>
          <w:b/>
        </w:rPr>
        <w:t xml:space="preserve">• </w:t>
      </w:r>
      <w:r>
        <w:t>Financial well-being - purchasing power, household resilience, productive opportunity, and long-term economic security.</w:t>
      </w:r>
    </w:p>
    <w:p>
      <w:pPr>
        <w:pStyle w:val="NoIndent"/>
        <w:spacing w:line="360" w:lineRule="auto"/>
        <w:ind w:left="360" w:hanging="259"/>
      </w:pPr>
      <w:r>
        <w:rPr>
          <w:b/>
        </w:rPr>
        <w:t xml:space="preserve">• </w:t>
      </w:r>
      <w:r>
        <w:t>Intergenerational fairness - avoiding hidden transfers of current costs to people who cannot yet vote or object.</w:t>
      </w:r>
    </w:p>
    <w:p>
      <w:pPr>
        <w:pStyle w:val="NoIndent"/>
        <w:spacing w:line="360" w:lineRule="auto"/>
        <w:ind w:left="360" w:hanging="259"/>
      </w:pPr>
      <w:r>
        <w:rPr>
          <w:b/>
        </w:rPr>
        <w:t xml:space="preserve">• </w:t>
      </w:r>
      <w:r>
        <w:t>Environmental integrity - reducing pollution, waste, depletion, and hidden environmental liabilities where relevant to the policy under review.</w:t>
      </w:r>
    </w:p>
    <w:p>
      <w:pPr>
        <w:pStyle w:val="NoIndent"/>
        <w:spacing w:line="360" w:lineRule="auto"/>
        <w:ind w:left="360" w:hanging="259"/>
      </w:pPr>
      <w:r>
        <w:rPr>
          <w:b/>
        </w:rPr>
        <w:t xml:space="preserve">• </w:t>
      </w:r>
      <w:r>
        <w:t>Institutional integrity - keeping measurements honest, attributable, auditable, reproducible, and difficult to alter silently.</w:t>
      </w:r>
    </w:p>
    <w:p>
      <w:pPr>
        <w:pStyle w:val="NoIndent"/>
        <w:spacing w:line="360" w:lineRule="auto"/>
        <w:ind w:left="360" w:hanging="259"/>
      </w:pPr>
      <w:r>
        <w:rPr>
          <w:b/>
        </w:rPr>
        <w:t xml:space="preserve">• </w:t>
      </w:r>
      <w:r>
        <w:t>Social coherence and distributional fairness - identifying who benefits, who pays, and whether concentrated losses create destabilizing incentives.</w:t>
      </w:r>
    </w:p>
    <w:p>
      <w:pPr>
        <w:pStyle w:val="NoIndent"/>
        <w:spacing w:line="360" w:lineRule="auto"/>
        <w:ind w:left="360" w:hanging="259"/>
      </w:pPr>
      <w:r>
        <w:rPr>
          <w:b/>
        </w:rPr>
        <w:t xml:space="preserve">• </w:t>
      </w:r>
      <w:r>
        <w:t>Productive capacity and innovation - preserving the ability to create useful goods, services, knowledge, infrastructure, technology, and businesses.</w:t>
      </w:r>
    </w:p>
    <w:p>
      <w:pPr>
        <w:pStyle w:val="NoIndent"/>
        <w:spacing w:line="360" w:lineRule="auto"/>
        <w:ind w:left="360" w:hanging="259"/>
      </w:pPr>
      <w:r>
        <w:rPr>
          <w:b/>
        </w:rPr>
        <w:t xml:space="preserve">• </w:t>
      </w:r>
      <w:r>
        <w:t>Resilience and reversibility - preserving the ability to withstand shocks and correct mistakes without catastrophic disruption.</w:t>
      </w:r>
    </w:p>
    <w:p>
      <w:pPr>
        <w:pStyle w:val="NoIndent"/>
        <w:spacing w:line="360" w:lineRule="auto"/>
        <w:ind w:left="360" w:hanging="259"/>
      </w:pPr>
      <w:r>
        <w:rPr>
          <w:b/>
        </w:rPr>
        <w:t xml:space="preserve">• </w:t>
      </w:r>
      <w:r>
        <w:t>Freedom and legitimate choice - retaining democratic authority and individual agency rather than converting optimization into automatic coercion.</w:t>
      </w:r>
    </w:p>
    <w:p>
      <w:pPr>
        <w:pStyle w:val="NoIndent"/>
        <w:spacing w:line="360" w:lineRule="auto"/>
        <w:ind w:left="360" w:hanging="259"/>
      </w:pPr>
      <w:r>
        <w:rPr>
          <w:b/>
        </w:rPr>
        <w:t xml:space="preserve">• </w:t>
      </w:r>
      <w:r>
        <w:t>Knowledge quality - using the best available evidence while keeping uncertainty visible and obsolete methods replaceable.</w:t>
      </w:r>
    </w:p>
    <w:p>
      <w:pPr>
        <w:pStyle w:val="NoIndent"/>
        <w:spacing w:line="360" w:lineRule="auto"/>
        <w:ind w:left="360" w:hanging="259"/>
      </w:pPr>
      <w:r>
        <w:rPr>
          <w:b/>
        </w:rPr>
        <w:t xml:space="preserve">• </w:t>
      </w:r>
      <w:r>
        <w:t>Regenerative improvement - where practical, recovering from disruption in a way that leaves the system more resilient than before.</w:t>
      </w:r>
    </w:p>
    <w:p>
      <w:pPr>
        <w:pStyle w:val="Heading2"/>
      </w:pPr>
      <w:r>
        <w:rPr>
          <w:i w:val="0"/>
        </w:rPr>
        <w:t>3.2 Internal Waypoint, External Field View</w:t>
      </w:r>
    </w:p>
    <w:tbl>
      <w:tblPr>
        <w:tblStyle w:val="TableGrid"/>
        <w:tblW w:type="auto" w:w="0"/>
        <w:jc w:val="center"/>
        <w:tblLook w:firstColumn="1" w:firstRow="1" w:lastColumn="0" w:lastRow="0" w:noHBand="0" w:noVBand="1" w:val="04A0"/>
      </w:tblPr>
      <w:tblGrid>
        <w:gridCol w:w="4680"/>
        <w:gridCol w:w="4680"/>
      </w:tblGrid>
      <w:tr>
        <w:tc>
          <w:tcPr>
            <w:tcW w:type="dxa" w:w="4320"/>
            <w:shd w:fill="E8EDF3"/>
          </w:tcPr>
          <w:p>
            <w:r>
              <w:rPr>
                <w:rFonts w:ascii="Times New Roman" w:hAnsi="Times New Roman"/>
                <w:b/>
                <w:sz w:val="18"/>
              </w:rPr>
              <w:t>Internal waypoint view</w:t>
            </w:r>
          </w:p>
        </w:tc>
        <w:tc>
          <w:tcPr>
            <w:tcW w:type="dxa" w:w="4320"/>
            <w:shd w:fill="E8EDF3"/>
          </w:tcPr>
          <w:p>
            <w:r>
              <w:rPr>
                <w:rFonts w:ascii="Times New Roman" w:hAnsi="Times New Roman"/>
                <w:b/>
                <w:sz w:val="18"/>
              </w:rPr>
              <w:t>Broader field-state comparative view</w:t>
            </w:r>
          </w:p>
        </w:tc>
      </w:tr>
      <w:tr>
        <w:tc>
          <w:tcPr>
            <w:tcW w:type="dxa" w:w="4320"/>
          </w:tcPr>
          <w:p>
            <w:pPr>
              <w:spacing w:line="240" w:lineRule="auto" w:after="0"/>
            </w:pPr>
            <w:r>
              <w:rPr>
                <w:rFonts w:ascii="Times New Roman" w:hAnsi="Times New Roman"/>
                <w:sz w:val="18"/>
              </w:rPr>
              <w:t>Where are we now?</w:t>
            </w:r>
          </w:p>
        </w:tc>
        <w:tc>
          <w:tcPr>
            <w:tcW w:type="dxa" w:w="4320"/>
          </w:tcPr>
          <w:p>
            <w:pPr>
              <w:spacing w:line="240" w:lineRule="auto" w:after="0"/>
            </w:pPr>
            <w:r>
              <w:rPr>
                <w:rFonts w:ascii="Times New Roman" w:hAnsi="Times New Roman"/>
                <w:sz w:val="18"/>
              </w:rPr>
              <w:t>What is changing across the surrounding system?</w:t>
            </w:r>
          </w:p>
        </w:tc>
      </w:tr>
      <w:tr>
        <w:tc>
          <w:tcPr>
            <w:tcW w:type="dxa" w:w="4320"/>
          </w:tcPr>
          <w:p>
            <w:pPr>
              <w:spacing w:line="240" w:lineRule="auto" w:after="0"/>
            </w:pPr>
            <w:r>
              <w:rPr>
                <w:rFonts w:ascii="Times New Roman" w:hAnsi="Times New Roman"/>
                <w:sz w:val="18"/>
              </w:rPr>
              <w:t>What should improve next?</w:t>
            </w:r>
          </w:p>
        </w:tc>
        <w:tc>
          <w:tcPr>
            <w:tcW w:type="dxa" w:w="4320"/>
          </w:tcPr>
          <w:p>
            <w:pPr>
              <w:spacing w:line="240" w:lineRule="auto" w:after="0"/>
            </w:pPr>
            <w:r>
              <w:rPr>
                <w:rFonts w:ascii="Times New Roman" w:hAnsi="Times New Roman"/>
                <w:sz w:val="18"/>
              </w:rPr>
              <w:t>Who or what is affected elsewhere?</w:t>
            </w:r>
          </w:p>
        </w:tc>
      </w:tr>
      <w:tr>
        <w:tc>
          <w:tcPr>
            <w:tcW w:type="dxa" w:w="4320"/>
          </w:tcPr>
          <w:p>
            <w:pPr>
              <w:spacing w:line="240" w:lineRule="auto" w:after="0"/>
            </w:pPr>
            <w:r>
              <w:rPr>
                <w:rFonts w:ascii="Times New Roman" w:hAnsi="Times New Roman"/>
                <w:sz w:val="18"/>
              </w:rPr>
              <w:t>What measurable condition defines progress?</w:t>
            </w:r>
          </w:p>
        </w:tc>
        <w:tc>
          <w:tcPr>
            <w:tcW w:type="dxa" w:w="4320"/>
          </w:tcPr>
          <w:p>
            <w:pPr>
              <w:spacing w:line="240" w:lineRule="auto" w:after="0"/>
            </w:pPr>
            <w:r>
              <w:rPr>
                <w:rFonts w:ascii="Times New Roman" w:hAnsi="Times New Roman"/>
                <w:sz w:val="18"/>
              </w:rPr>
              <w:t>Did a local improvement create a hidden cost?</w:t>
            </w:r>
          </w:p>
        </w:tc>
      </w:tr>
      <w:tr>
        <w:tc>
          <w:tcPr>
            <w:tcW w:type="dxa" w:w="4320"/>
          </w:tcPr>
          <w:p>
            <w:pPr>
              <w:spacing w:line="240" w:lineRule="auto" w:after="0"/>
            </w:pPr>
            <w:r>
              <w:rPr>
                <w:rFonts w:ascii="Times New Roman" w:hAnsi="Times New Roman"/>
                <w:sz w:val="18"/>
              </w:rPr>
              <w:t>Did we reach the intended point?</w:t>
            </w:r>
          </w:p>
        </w:tc>
        <w:tc>
          <w:tcPr>
            <w:tcW w:type="dxa" w:w="4320"/>
          </w:tcPr>
          <w:p>
            <w:pPr>
              <w:spacing w:line="240" w:lineRule="auto" w:after="0"/>
            </w:pPr>
            <w:r>
              <w:rPr>
                <w:rFonts w:ascii="Times New Roman" w:hAnsi="Times New Roman"/>
                <w:sz w:val="18"/>
              </w:rPr>
              <w:t>What happened to the field while we were getting there?</w:t>
            </w:r>
          </w:p>
        </w:tc>
      </w:tr>
      <w:tr>
        <w:tc>
          <w:tcPr>
            <w:tcW w:type="dxa" w:w="4320"/>
          </w:tcPr>
          <w:p>
            <w:pPr>
              <w:spacing w:line="240" w:lineRule="auto" w:after="0"/>
            </w:pPr>
            <w:r>
              <w:rPr>
                <w:rFonts w:ascii="Times New Roman" w:hAnsi="Times New Roman"/>
                <w:sz w:val="18"/>
              </w:rPr>
              <w:t>What is the next waypoint?</w:t>
            </w:r>
          </w:p>
        </w:tc>
        <w:tc>
          <w:tcPr>
            <w:tcW w:type="dxa" w:w="4320"/>
          </w:tcPr>
          <w:p>
            <w:pPr>
              <w:spacing w:line="240" w:lineRule="auto" w:after="0"/>
            </w:pPr>
            <w:r>
              <w:rPr>
                <w:rFonts w:ascii="Times New Roman" w:hAnsi="Times New Roman"/>
                <w:sz w:val="18"/>
              </w:rPr>
              <w:t>Has the field changed enough that the old waypoint is obsolete?</w:t>
            </w:r>
          </w:p>
        </w:tc>
      </w:tr>
    </w:tbl>
    <w:p/>
    <w:p>
      <w:r>
        <w:rPr>
          <w:i w:val="0"/>
        </w:rPr>
        <w:t>This dual perspective is conceptually influenced by Baldwin's separate Field-State Comparative Lens (FSCL) work. The analogy is limited and intentional: the waypoint is local and operational; the field-state view is broad and comparative. This document does not disclose FSCL technical design and does not claim that the FSCL validates Nexus.</w:t>
      </w:r>
    </w:p>
    <w:p>
      <w:pPr>
        <w:pStyle w:val="Heading2"/>
      </w:pPr>
      <w:r>
        <w:rPr>
          <w:i w:val="0"/>
        </w:rPr>
        <w:t>3.3 Remedial Change and Regenerative Recovery</w:t>
      </w:r>
    </w:p>
    <w:p>
      <w:r>
        <w:rPr>
          <w:i w:val="0"/>
        </w:rPr>
        <w:t>The waypoint system changes the meaning of recovery. A system should not always try to recreate the exact condition that existed before a shock. Where the evidence supports it, the better sequence is departure, recovery, learning, strengthening, and then the next waypoint. The aim is remedial change with measurable quality rather than motion for its own sake.</w:t>
      </w:r>
    </w:p>
    <w:p>
      <w:pPr>
        <w:pStyle w:val="BlockQuote"/>
      </w:pPr>
      <w:r>
        <w:rPr>
          <w:i w:val="0"/>
        </w:rPr>
        <w:t>The waypoint tells Nexus where it is trying to go. The field-state perspective asks what is happening everywhere else while it gets there.</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Goodhart (1975); Lucas (1976); Congressional Budget Office (2026c); U.S. Department of the Treasury (2026a).</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 waypoint architecture is an original Nexus design, but these sources explain why rigid permanent targets can fail. Economic relationships and stakeholder behavior change. Official sensitivity analysis and Treasury's own discussion of the costs of delay show why a framework must compare alternative paths rather than worship one fixed number.</w:t>
            </w:r>
          </w:p>
        </w:tc>
      </w:tr>
    </w:tbl>
    <w:p/>
    <w:p>
      <w:pPr>
        <w:pStyle w:val="Heading1"/>
      </w:pPr>
      <w:r>
        <w:rPr>
          <w:i w:val="0"/>
        </w:rPr>
        <w:t>4. The Six Nexus Review Gates</w:t>
      </w:r>
    </w:p>
    <w:p>
      <w:r>
        <w:rPr>
          <w:i w:val="0"/>
        </w:rPr>
        <w:t>The six gates are not external peer review. They are structured internal challenge gates intended to make unsupported claims fail early. Passing a gate means only that the proposal survived that test well enough to proceed to the next one. It does not prove that Nexus is correct.</w:t>
      </w:r>
    </w:p>
    <w:p>
      <w:pPr>
        <w:pStyle w:val="Heading2"/>
      </w:pPr>
      <w:r>
        <w:rPr>
          <w:i w:val="0"/>
        </w:rPr>
        <w:t>Gate 1 - Factual and Mathematical Integrity</w:t>
      </w:r>
    </w:p>
    <w:p>
      <w:pPr>
        <w:pStyle w:val="BlockQuote"/>
      </w:pPr>
      <w:r>
        <w:rPr>
          <w:i w:val="0"/>
        </w:rPr>
        <w:t>Core question: Are the facts, equations, definitions, measurements, and assumptions defensible?</w:t>
      </w:r>
    </w:p>
    <w:p>
      <w:pPr>
        <w:pStyle w:val="NoIndent"/>
        <w:spacing w:line="360" w:lineRule="auto"/>
        <w:ind w:left="360" w:hanging="259"/>
      </w:pPr>
      <w:r>
        <w:rPr>
          <w:b/>
        </w:rPr>
        <w:t xml:space="preserve">• </w:t>
      </w:r>
      <w:r>
        <w:t>Verify official data, dates, definitions, and source vintages.</w:t>
      </w:r>
    </w:p>
    <w:p>
      <w:pPr>
        <w:pStyle w:val="NoIndent"/>
        <w:spacing w:line="360" w:lineRule="auto"/>
        <w:ind w:left="360" w:hanging="259"/>
      </w:pPr>
      <w:r>
        <w:rPr>
          <w:b/>
        </w:rPr>
        <w:t xml:space="preserve">• </w:t>
      </w:r>
      <w:r>
        <w:t>Recompute material equations and numerical examples independently.</w:t>
      </w:r>
    </w:p>
    <w:p>
      <w:pPr>
        <w:pStyle w:val="NoIndent"/>
        <w:spacing w:line="360" w:lineRule="auto"/>
        <w:ind w:left="360" w:hanging="259"/>
      </w:pPr>
      <w:r>
        <w:rPr>
          <w:b/>
        </w:rPr>
        <w:t xml:space="preserve">• </w:t>
      </w:r>
      <w:r>
        <w:t>Separate debt held by the public from other liability and net-worth concepts.</w:t>
      </w:r>
    </w:p>
    <w:p>
      <w:pPr>
        <w:pStyle w:val="NoIndent"/>
        <w:spacing w:line="360" w:lineRule="auto"/>
        <w:ind w:left="360" w:hanging="259"/>
      </w:pPr>
      <w:r>
        <w:rPr>
          <w:b/>
        </w:rPr>
        <w:t xml:space="preserve">• </w:t>
      </w:r>
      <w:r>
        <w:t>Reject unsupported causal labels, including any claim that a diagnostic indicator uniquely identifies the cause of inflation.</w:t>
      </w:r>
    </w:p>
    <w:p>
      <w:pPr>
        <w:pStyle w:val="NoIndent"/>
        <w:spacing w:line="360" w:lineRule="auto"/>
        <w:ind w:left="360" w:hanging="259"/>
      </w:pPr>
      <w:r>
        <w:rPr>
          <w:b/>
        </w:rPr>
        <w:t xml:space="preserve">• </w:t>
      </w:r>
      <w:r>
        <w:t>Label all post-source extrapolation as scenario rather than projection.</w:t>
      </w:r>
    </w:p>
    <w:p>
      <w:pPr>
        <w:pStyle w:val="NoIndent"/>
        <w:spacing w:line="360" w:lineRule="auto"/>
        <w:ind w:left="360" w:hanging="259"/>
      </w:pPr>
      <w:r>
        <w:rPr>
          <w:b/>
        </w:rPr>
        <w:t xml:space="preserve">• </w:t>
      </w:r>
      <w:r>
        <w:t>Treat unresolved parameters as unresolved.</w:t>
      </w:r>
    </w:p>
    <w:p>
      <w:r>
        <w:rPr>
          <w:i w:val="0"/>
        </w:rPr>
        <w:t>An early Nexus example illustrates why this gate matters. A simplified 50-year debt-convergence path was mathematically recomputed and corrected. Later, when CBO published longer-horizon official projections through 2056, those official projections displaced the home-built long-run path as the primary reference. The earlier calculation remains useful only as an illustrative scenario in the technical record.</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Congressional Budget Office (2026a, 2026b, 2026c); U.S. Department of the Treasury (2026a).</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provide the official baseline, long-horizon projection data, and published sensitivity rules. Gate 1 requires Nexus to prefer those sources over convenient internally generated assumptions and to keep any remaining model assumptions visibly subordinate to official evidence.</w:t>
            </w:r>
          </w:p>
        </w:tc>
      </w:tr>
    </w:tbl>
    <w:p/>
    <w:p>
      <w:pPr>
        <w:pStyle w:val="Heading2"/>
      </w:pPr>
      <w:r>
        <w:rPr>
          <w:i w:val="0"/>
        </w:rPr>
        <w:t>Gate 2 - Institutional and Legal Compatibility</w:t>
      </w:r>
    </w:p>
    <w:p>
      <w:pPr>
        <w:pStyle w:val="BlockQuote"/>
      </w:pPr>
      <w:r>
        <w:rPr>
          <w:i w:val="0"/>
        </w:rPr>
        <w:t>Core question: Can Nexus coexist with the institutions that would actually have to operate around it?</w:t>
      </w:r>
    </w:p>
    <w:p>
      <w:pPr>
        <w:pStyle w:val="NoIndent"/>
        <w:spacing w:line="360" w:lineRule="auto"/>
        <w:ind w:left="360" w:hanging="259"/>
      </w:pPr>
      <w:r>
        <w:rPr>
          <w:b/>
        </w:rPr>
        <w:t xml:space="preserve">• </w:t>
      </w:r>
      <w:r>
        <w:t>Congress retains legislative authority over taxes and spending.</w:t>
      </w:r>
    </w:p>
    <w:p>
      <w:pPr>
        <w:pStyle w:val="NoIndent"/>
        <w:spacing w:line="360" w:lineRule="auto"/>
        <w:ind w:left="360" w:hanging="259"/>
      </w:pPr>
      <w:r>
        <w:rPr>
          <w:b/>
        </w:rPr>
        <w:t xml:space="preserve">• </w:t>
      </w:r>
      <w:r>
        <w:t>The Federal Reserve System retains monetary-policy authority.</w:t>
      </w:r>
    </w:p>
    <w:p>
      <w:pPr>
        <w:pStyle w:val="NoIndent"/>
        <w:spacing w:line="360" w:lineRule="auto"/>
        <w:ind w:left="360" w:hanging="259"/>
      </w:pPr>
      <w:r>
        <w:rPr>
          <w:b/>
        </w:rPr>
        <w:t xml:space="preserve">• </w:t>
      </w:r>
      <w:r>
        <w:t>The Department of the Treasury retains debt-management authority and its regular-and-predictable financing strategy.</w:t>
      </w:r>
    </w:p>
    <w:p>
      <w:pPr>
        <w:pStyle w:val="NoIndent"/>
        <w:spacing w:line="360" w:lineRule="auto"/>
        <w:ind w:left="360" w:hanging="259"/>
      </w:pPr>
      <w:r>
        <w:rPr>
          <w:b/>
        </w:rPr>
        <w:t xml:space="preserve">• </w:t>
      </w:r>
      <w:r>
        <w:t>The CBO retains its budget-scoring and forecasting role.</w:t>
      </w:r>
    </w:p>
    <w:p>
      <w:pPr>
        <w:pStyle w:val="NoIndent"/>
        <w:spacing w:line="360" w:lineRule="auto"/>
        <w:ind w:left="360" w:hanging="259"/>
      </w:pPr>
      <w:r>
        <w:rPr>
          <w:b/>
        </w:rPr>
        <w:t xml:space="preserve">• </w:t>
      </w:r>
      <w:r>
        <w:t>The GAO audits the process but does not operate the Nexus dashboard.</w:t>
      </w:r>
    </w:p>
    <w:p>
      <w:pPr>
        <w:pStyle w:val="NoIndent"/>
        <w:spacing w:line="360" w:lineRule="auto"/>
        <w:ind w:left="360" w:hanging="259"/>
      </w:pPr>
      <w:r>
        <w:rPr>
          <w:b/>
        </w:rPr>
        <w:t xml:space="preserve">• </w:t>
      </w:r>
      <w:r>
        <w:t>Social Security and Medicare remain governed by their statutes; Nexus may report solvency but cannot automatically cut benefits.</w:t>
      </w:r>
    </w:p>
    <w:p>
      <w:pPr>
        <w:pStyle w:val="NoIndent"/>
        <w:spacing w:line="360" w:lineRule="auto"/>
        <w:ind w:left="360" w:hanging="259"/>
      </w:pPr>
      <w:r>
        <w:rPr>
          <w:b/>
        </w:rPr>
        <w:t xml:space="preserve">• </w:t>
      </w:r>
      <w:r>
        <w:t>State and local governments receive a formal incidence test so federal savings cannot be claimed by silently exporting costs.</w:t>
      </w:r>
    </w:p>
    <w:p>
      <w:r>
        <w:rPr>
          <w:i w:val="0"/>
        </w:rPr>
        <w:t>Nexus therefore contains a no-authority principle. Its initial function is measurement, comparison, explanation, and public memory. Any later proposal to give a Nexus component binding authority would require separate legislation and separate review.</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U.S. Department of the Treasury (2026c); Board of Trustees of the Federal Old-Age and Survivors Insurance and Federal Disability Insurance Trust Funds (2026); Boards of Trustees of the Federal Hospital Insurance and Federal Supplementary Medical Insurance Trust Funds (2026); Congressional Budget Office (2026d).</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demonstrate that important fiscal functions already have statutory owners and that official projections can legitimately disagree. Gate 2 is designed to fit around those institutions rather than silently absorbing their authority.</w:t>
            </w:r>
          </w:p>
        </w:tc>
      </w:tr>
    </w:tbl>
    <w:p/>
    <w:p>
      <w:pPr>
        <w:pStyle w:val="Heading2"/>
      </w:pPr>
      <w:r>
        <w:rPr>
          <w:i w:val="0"/>
        </w:rPr>
        <w:t>Gate 3 - Incentive Compatibility and Stakeholder Durability</w:t>
      </w:r>
    </w:p>
    <w:p>
      <w:pPr>
        <w:pStyle w:val="BlockQuote"/>
      </w:pPr>
      <w:r>
        <w:rPr>
          <w:i w:val="0"/>
        </w:rPr>
        <w:t>Core question: Will the people and institutions living inside the system have sufficient reasons to preserve its integrity?</w:t>
      </w:r>
    </w:p>
    <w:p>
      <w:r>
        <w:rPr>
          <w:i w:val="0"/>
        </w:rPr>
        <w:t>Gate 3 does not ask whether every group will like every outcome. That standard is impossible. It asks whether the framework itself is structured so that preserving its integrity is usually more advantageous than defeating it.</w:t>
      </w:r>
    </w:p>
    <w:p>
      <w:pPr>
        <w:pStyle w:val="NoIndent"/>
        <w:spacing w:line="360" w:lineRule="auto"/>
        <w:ind w:left="360" w:hanging="259"/>
      </w:pPr>
      <w:r>
        <w:rPr>
          <w:b/>
        </w:rPr>
        <w:t xml:space="preserve">• </w:t>
      </w:r>
      <w:r>
        <w:t>What does each stakeholder gain if the framework works?</w:t>
      </w:r>
    </w:p>
    <w:p>
      <w:pPr>
        <w:pStyle w:val="NoIndent"/>
        <w:spacing w:line="360" w:lineRule="auto"/>
        <w:ind w:left="360" w:hanging="259"/>
      </w:pPr>
      <w:r>
        <w:rPr>
          <w:b/>
        </w:rPr>
        <w:t xml:space="preserve">• </w:t>
      </w:r>
      <w:r>
        <w:t>What could the stakeholder lose?</w:t>
      </w:r>
    </w:p>
    <w:p>
      <w:pPr>
        <w:pStyle w:val="NoIndent"/>
        <w:spacing w:line="360" w:lineRule="auto"/>
        <w:ind w:left="360" w:hanging="259"/>
      </w:pPr>
      <w:r>
        <w:rPr>
          <w:b/>
        </w:rPr>
        <w:t xml:space="preserve">• </w:t>
      </w:r>
      <w:r>
        <w:t>What incentive would the stakeholder have to evade, capture, weaken, or misreport the system?</w:t>
      </w:r>
    </w:p>
    <w:p>
      <w:pPr>
        <w:pStyle w:val="NoIndent"/>
        <w:spacing w:line="360" w:lineRule="auto"/>
        <w:ind w:left="360" w:hanging="259"/>
      </w:pPr>
      <w:r>
        <w:rPr>
          <w:b/>
        </w:rPr>
        <w:t xml:space="preserve">• </w:t>
      </w:r>
      <w:r>
        <w:t>What design could make preservation of system integrity more valuable than manipulation?</w:t>
      </w:r>
    </w:p>
    <w:p>
      <w:pPr>
        <w:pStyle w:val="NoIndent"/>
        <w:spacing w:line="360" w:lineRule="auto"/>
        <w:ind w:left="360" w:hanging="259"/>
      </w:pPr>
      <w:r>
        <w:rPr>
          <w:b/>
        </w:rPr>
        <w:t xml:space="preserve">• </w:t>
      </w:r>
      <w:r>
        <w:t>Does the change create a new concentrated loser with unusually strong incentives to defeat the framework?</w:t>
      </w:r>
    </w:p>
    <w:p>
      <w:pPr>
        <w:pStyle w:val="NoIndent"/>
        <w:spacing w:line="360" w:lineRule="auto"/>
        <w:ind w:left="360" w:hanging="259"/>
      </w:pPr>
      <w:r>
        <w:rPr>
          <w:b/>
        </w:rPr>
        <w:t xml:space="preserve">• </w:t>
      </w:r>
      <w:r>
        <w:t>Are future generations or diffuse groups carrying costs that current decision makers can hide?</w:t>
      </w:r>
    </w:p>
    <w:p>
      <w:pPr>
        <w:pStyle w:val="BlockQuote"/>
      </w:pPr>
      <w:r>
        <w:rPr>
          <w:i w:val="0"/>
        </w:rPr>
        <w:t>A durable public system should not depend primarily upon virtue. It should align enough legitimate interests that preserving the integrity of the system is usually more advantageous than undermining it.</w:t>
      </w:r>
    </w:p>
    <w:p>
      <w:r>
        <w:rPr>
          <w:i w:val="0"/>
        </w:rPr>
        <w:t>This gate deliberately precedes the value-add and implementation gates. A technically elegant design that creates powerful incentives for evasion is not durable. Later gates may suggest redesigns, but any material redesign must return to Gate 3 as a regression test.</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U.S. Department of the Treasury (2026a); Congressional Budget Office (2026a); Goodhart (1975).</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Treasury explicitly frames delay as an intergenerational burden. CBO shows that fiscal choices affect different periods and economic conditions differently. Goodhart provides the deeper warning that people respond to control systems. Gate 3 converts that behavioral reality into an explicit design test.</w:t>
            </w:r>
          </w:p>
        </w:tc>
      </w:tr>
    </w:tbl>
    <w:p/>
    <w:p>
      <w:pPr>
        <w:pStyle w:val="Heading2"/>
      </w:pPr>
      <w:r>
        <w:rPr>
          <w:i w:val="0"/>
        </w:rPr>
        <w:t>Gate 4 - Distinctive Value and Necessity</w:t>
      </w:r>
    </w:p>
    <w:p>
      <w:pPr>
        <w:pStyle w:val="BlockQuote"/>
      </w:pPr>
      <w:r>
        <w:rPr>
          <w:i w:val="0"/>
        </w:rPr>
        <w:t>Core question: Does Nexus add decision value that existing institutions do not already provide?</w:t>
      </w:r>
    </w:p>
    <w:p>
      <w:r>
        <w:rPr>
          <w:i w:val="0"/>
        </w:rPr>
        <w:t>Nexus should not become a new permanent reporting apparatus simply because another apparatus can be created. The pilot must show that its distinctive components improve understanding or accountability beyond what already exists.</w:t>
      </w:r>
    </w:p>
    <w:p>
      <w:r>
        <w:rPr>
          <w:i w:val="0"/>
        </w:rPr>
        <w:t>Candidate distinctive functions are the Return-Path Requirement, Emergency Recovery Ledger, Permanent Deviation Record, Cross-System Truth Dashboard, Distributional Truth Gate, adaptive waypoint architecture, and correction memory. If those functions do not materially improve decision quality or public understanding, the correct result is termination, not institutional self-preservation.</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Congressional Budget Office (2026a, 2026b); U.S. Department of the Treasury (2026b); U.S. Government Accountability Office (2026a, 2026b, 2026c).</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institutions already provide extensive fiscal analysis, financial reporting, audit findings, and potential efficiency opportunities. Gate 4 therefore uses their existence as a challenge: Nexus must prove that it connects or preserves something materially useful that these institutions do not already provide in the same form.</w:t>
            </w:r>
          </w:p>
        </w:tc>
      </w:tr>
    </w:tbl>
    <w:p/>
    <w:p>
      <w:pPr>
        <w:pStyle w:val="Heading2"/>
      </w:pPr>
      <w:r>
        <w:rPr>
          <w:i w:val="0"/>
        </w:rPr>
        <w:t>Gate 5 - Implementation, Manipulation, and Digital Integrity</w:t>
      </w:r>
    </w:p>
    <w:p>
      <w:pPr>
        <w:pStyle w:val="BlockQuote"/>
      </w:pPr>
      <w:r>
        <w:rPr>
          <w:i w:val="0"/>
        </w:rPr>
        <w:t>Core question: How could Nexus be gamed, captured, altered, obscured, underfunded, hacked, delayed, or quietly rewritten?</w:t>
      </w:r>
    </w:p>
    <w:p>
      <w:pPr>
        <w:pStyle w:val="NoIndent"/>
        <w:spacing w:line="360" w:lineRule="auto"/>
        <w:ind w:left="360" w:hanging="259"/>
      </w:pPr>
      <w:r>
        <w:rPr>
          <w:b/>
        </w:rPr>
        <w:t xml:space="preserve">• </w:t>
      </w:r>
      <w:r>
        <w:t>Version-lock methodologies prospectively and never overwrite old results.</w:t>
      </w:r>
    </w:p>
    <w:p>
      <w:pPr>
        <w:pStyle w:val="NoIndent"/>
        <w:spacing w:line="360" w:lineRule="auto"/>
        <w:ind w:left="360" w:hanging="259"/>
      </w:pPr>
      <w:r>
        <w:rPr>
          <w:b/>
        </w:rPr>
        <w:t xml:space="preserve">• </w:t>
      </w:r>
      <w:r>
        <w:t>Publish source ownership, equations, input vintages, assumptions, and reference implementations where feasible.</w:t>
      </w:r>
    </w:p>
    <w:p>
      <w:pPr>
        <w:pStyle w:val="NoIndent"/>
        <w:spacing w:line="360" w:lineRule="auto"/>
        <w:ind w:left="360" w:hanging="259"/>
      </w:pPr>
      <w:r>
        <w:rPr>
          <w:b/>
        </w:rPr>
        <w:t xml:space="preserve">• </w:t>
      </w:r>
      <w:r>
        <w:t>Require two independent implementations for material derived results; unresolved mismatches receive a DISPUTED status.</w:t>
      </w:r>
    </w:p>
    <w:p>
      <w:pPr>
        <w:pStyle w:val="NoIndent"/>
        <w:spacing w:line="360" w:lineRule="auto"/>
        <w:ind w:left="360" w:hanging="259"/>
      </w:pPr>
      <w:r>
        <w:rPr>
          <w:b/>
        </w:rPr>
        <w:t xml:space="preserve">• </w:t>
      </w:r>
      <w:r>
        <w:t>Display missing required inputs as DATA NOT FILED with the responsible institution and date.</w:t>
      </w:r>
    </w:p>
    <w:p>
      <w:pPr>
        <w:pStyle w:val="NoIndent"/>
        <w:spacing w:line="360" w:lineRule="auto"/>
        <w:ind w:left="360" w:hanging="259"/>
      </w:pPr>
      <w:r>
        <w:rPr>
          <w:b/>
        </w:rPr>
        <w:t xml:space="preserve">• </w:t>
      </w:r>
      <w:r>
        <w:t>Use data-quality badges such as Verified, Estimated, Qualified, and Unverified.</w:t>
      </w:r>
    </w:p>
    <w:p>
      <w:pPr>
        <w:pStyle w:val="NoIndent"/>
        <w:spacing w:line="360" w:lineRule="auto"/>
        <w:ind w:left="360" w:hanging="259"/>
      </w:pPr>
      <w:r>
        <w:rPr>
          <w:b/>
        </w:rPr>
        <w:t xml:space="preserve">• </w:t>
      </w:r>
      <w:r>
        <w:t>Maintain redundant public archives and digital authentication of released versions.</w:t>
      </w:r>
    </w:p>
    <w:p>
      <w:pPr>
        <w:pStyle w:val="NoIndent"/>
        <w:spacing w:line="360" w:lineRule="auto"/>
        <w:ind w:left="360" w:hanging="259"/>
      </w:pPr>
      <w:r>
        <w:rPr>
          <w:b/>
        </w:rPr>
        <w:t xml:space="preserve">• </w:t>
      </w:r>
      <w:r>
        <w:t>Separate permissions so one administrator cannot silently alter source data, methodology, and publication history.</w:t>
      </w:r>
    </w:p>
    <w:p>
      <w:pPr>
        <w:pStyle w:val="NoIndent"/>
        <w:spacing w:line="360" w:lineRule="auto"/>
        <w:ind w:left="360" w:hanging="259"/>
      </w:pPr>
      <w:r>
        <w:rPr>
          <w:b/>
        </w:rPr>
        <w:t xml:space="preserve">• </w:t>
      </w:r>
      <w:r>
        <w:t>Prevent vendor lock-in for principal indicators.</w:t>
      </w:r>
    </w:p>
    <w:p>
      <w:pPr>
        <w:pStyle w:val="NoIndent"/>
        <w:spacing w:line="360" w:lineRule="auto"/>
        <w:ind w:left="360" w:hanging="259"/>
      </w:pPr>
      <w:r>
        <w:rPr>
          <w:b/>
        </w:rPr>
        <w:t xml:space="preserve">• </w:t>
      </w:r>
      <w:r>
        <w:t>Publish methodology-change dockets and side-by-side old-versus-new results.</w:t>
      </w:r>
    </w:p>
    <w:p>
      <w:pPr>
        <w:pStyle w:val="BlockQuote"/>
      </w:pPr>
      <w:r>
        <w:rPr>
          <w:i w:val="0"/>
        </w:rPr>
        <w:t>The target is not "uncorruptable." The target is difficult to manipulate, easy to audit, difficult to change silently, and costly to corrupt.</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U.S. Government Accountability Office (2026a); Croushore and Stark (2001); Federal Reserve Bank of Philadelphia (n.d.).</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GAO documents continuing material weaknesses in governmentwide financial controls and information systems. The Philadelphia Fed's real-time-vintage work shows why preserving historical data states matters. Gate 5 turns those lessons into concrete anti-manipulation and auditability requirements.</w:t>
            </w:r>
          </w:p>
        </w:tc>
      </w:tr>
    </w:tbl>
    <w:p/>
    <w:p>
      <w:pPr>
        <w:pStyle w:val="Heading2"/>
      </w:pPr>
      <w:r>
        <w:rPr>
          <w:i w:val="0"/>
        </w:rPr>
        <w:t>Gate 6 - Historical, Behavioral, and Model-Risk Resilience</w:t>
      </w:r>
    </w:p>
    <w:p>
      <w:pPr>
        <w:pStyle w:val="BlockQuote"/>
      </w:pPr>
      <w:r>
        <w:rPr>
          <w:i w:val="0"/>
        </w:rPr>
        <w:t>Core question: Does the framework continue to make sense when the world behaves differently from the assumptions under which it was created?</w:t>
      </w:r>
    </w:p>
    <w:p>
      <w:r>
        <w:rPr>
          <w:i w:val="0"/>
        </w:rPr>
        <w:t>Gate 6 tests Nexus against different historical regimes and failure modes: high interest rates, weak productivity, accelerated productivity, low population growth, war, pandemic, deflation, inflation, financial crisis, reduced foreign demand for dollar assets, changes in Treasury-market structure, and combinations of those conditions.</w:t>
      </w:r>
    </w:p>
    <w:p>
      <w:r>
        <w:rPr>
          <w:i w:val="0"/>
        </w:rPr>
        <w:t>The gate also explicitly incorporates Goodhart risk, Lucas risk, real-time data-vintage risk, and the possibility that productive borrowing may improve future capacity even while increasing current debt. Nexus therefore has no blanket exemption for spending labeled "investment." A Productive Investment Test must disclose expected social and economic returns, financing cost, implementation risk, lifecycle cost, alternatives, distributional effects, and post-completion performance.</w:t>
      </w:r>
    </w:p>
    <w:p>
      <w:r>
        <w:rPr>
          <w:i w:val="0"/>
        </w:rPr>
        <w:t>Historical review is used as challenge evidence, not as a claim that the United States can reproduce another country's experience. Canada, Sweden, Switzerland, Jamaica, the postwar United States, and the 1990s U.S. fiscal episode can illuminate mechanisms and failure modes, but they do not provide a recipe that can be copied without regard to institutional context.</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Goodhart (1975); Lucas (1976); Croushore and Stark (2001); International Monetary Fund (2018); Congressional Budget Office (2026c); Federal Reserve Bank of Philadelphia (n.d.).</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support the central model-risk lesson: measured relationships, policy responses, balance-sheet conditions, and even the data available to policymakers can change. Gate 6 therefore treats every model as conditional and every historical analogy as a stress test rather than proof.</w:t>
            </w:r>
          </w:p>
        </w:tc>
      </w:tr>
    </w:tbl>
    <w:p/>
    <w:p>
      <w:pPr>
        <w:pStyle w:val="Heading2"/>
      </w:pPr>
      <w:r>
        <w:rPr>
          <w:i w:val="0"/>
        </w:rPr>
        <w:t>4.1 Gate-Return Rule</w:t>
      </w:r>
    </w:p>
    <w:p>
      <w:r>
        <w:rPr>
          <w:i w:val="0"/>
        </w:rPr>
        <w:t>The gates are not a one-way checklist. A material change produced by Gates 4, 5, or 6 must return to Gate 3 before acceptance. The question is simple: Did this technically sensible redesign create a new group with a powerful incentive to defeat the system? If so, the redesign is incomplete.</w:t>
      </w:r>
    </w:p>
    <w:p>
      <w:pPr>
        <w:pStyle w:val="Heading1"/>
      </w:pPr>
      <w:r>
        <w:rPr>
          <w:i w:val="0"/>
        </w:rPr>
        <w:t>5. Core Nexus Components</w:t>
      </w:r>
    </w:p>
    <w:p>
      <w:r>
        <w:rPr>
          <w:i w:val="0"/>
        </w:rPr>
        <w:t>The following components are design modules. None is presumed to deserve permanent implementation merely because it appears in this document. Each must survive the six gates and the Shadow Nexus value-add test.</w:t>
      </w:r>
    </w:p>
    <w:p>
      <w:pPr>
        <w:pStyle w:val="Heading2"/>
      </w:pPr>
      <w:r>
        <w:rPr>
          <w:i w:val="0"/>
        </w:rPr>
        <w:t>5.1 Emergency Recovery Ledger</w:t>
      </w:r>
    </w:p>
    <w:p>
      <w:r>
        <w:rPr>
          <w:i w:val="0"/>
        </w:rPr>
        <w:t>The Emergency Recovery Ledger is an accounting and attribution tool. It records the origin, authorization, purpose, estimated cost, later revisions, and recovery treatment of extraordinary borrowing. It does not create a special class of crisis bond and does not interfere with Treasury debt-management decisions.</w:t>
      </w:r>
    </w:p>
    <w:p>
      <w:pPr>
        <w:pStyle w:val="Heading2"/>
      </w:pPr>
      <w:r>
        <w:rPr>
          <w:i w:val="0"/>
        </w:rPr>
        <w:t>5.2 Sustainable Debt Corridor</w:t>
      </w:r>
    </w:p>
    <w:p>
      <w:r>
        <w:rPr>
          <w:i w:val="0"/>
        </w:rPr>
        <w:t>Nexus no longer assumes that debt should reach zero or that one debt-to-GDP ratio is universally optimal. A pilot would ask qualified experts to define, test, or reject a sustainable debt corridor based on fiscal capacity, interest burden, emergency flexibility, Treasury-market functioning, and economic conditions. The corridor itself is a policy-design choice and must remain reviewable.</w:t>
      </w:r>
    </w:p>
    <w:p>
      <w:pPr>
        <w:pStyle w:val="Heading2"/>
      </w:pPr>
      <w:r>
        <w:rPr>
          <w:i w:val="0"/>
        </w:rPr>
        <w:t>5.3 Nexus Inflation Diagnostics Dashboard (NIDD)</w:t>
      </w:r>
    </w:p>
    <w:p>
      <w:r>
        <w:rPr>
          <w:i w:val="0"/>
        </w:rPr>
        <w:t>The Nexus Inflation Diagnostics Dashboard (NIDD) is a diagnostic display, not a monetary-policy rule. It may include headline and core Personal Consumption Expenditures (PCE) inflation, trimmed or median measures where appropriate, inflation breadth and persistence, supply- and demand-like components, expectations, labor conditions, and financial conditions. No composite score or weighting scheme is assumed in this edition.</w:t>
      </w:r>
    </w:p>
    <w:p>
      <w:pPr>
        <w:pStyle w:val="Heading2"/>
      </w:pPr>
      <w:r>
        <w:rPr>
          <w:i w:val="0"/>
        </w:rPr>
        <w:t>5.4 Real Value Unit-Household (RVU-H)</w:t>
      </w:r>
    </w:p>
    <w:p>
      <w:r>
        <w:rPr>
          <w:i w:val="0"/>
        </w:rPr>
        <w:t>The Real Value Unit-Household (RVU-H) is proposed only as a reporting translation. It asks how a nominal amount changes in household purchasing-power terms using official price measures. It is not a replacement currency and does not initially index wages, deposits, mortgages, taxes, or private contracts. Treasury Inflation-Protected Securities (TIPS) demonstrate that official inflation indexation can be operationalized in a specific security context, but that precedent does not by itself justify broad indexation.</w:t>
      </w:r>
    </w:p>
    <w:p>
      <w:r>
        <w:rPr>
          <w:i w:val="0"/>
        </w:rPr>
        <w:t>At exactly 2% inflation for 30 years, the price level rises by about 81.1%, and one starting dollar retains about 55.2% of its original purchasing power. This is arithmetic, not a forecast. The Federal Open Market Committee currently identifies 2% PCE inflation as its longer-run objective because it judges that rate most consistent with its statutory goals (Board of Governors of the Federal Reserve System, 2025).</w:t>
      </w:r>
    </w:p>
    <w:p>
      <w:pPr>
        <w:pStyle w:val="Heading2"/>
      </w:pPr>
      <w:r>
        <w:rPr>
          <w:i w:val="0"/>
        </w:rPr>
        <w:t>5.5 Distributional Truth Gate</w:t>
      </w:r>
    </w:p>
    <w:p>
      <w:r>
        <w:rPr>
          <w:i w:val="0"/>
        </w:rPr>
        <w:t>A federal budget saving is not automatically a national economic saving. A policy may reduce federal outlays by shifting costs to households, states, employers, providers, creditors, or future taxpayers. The Distributional Truth Gate requires those transfers to be made visible before a saving is credited as a system-wide improvement.</w:t>
      </w:r>
    </w:p>
    <w:p>
      <w:pPr>
        <w:pStyle w:val="Heading2"/>
      </w:pPr>
      <w:r>
        <w:rPr>
          <w:i w:val="0"/>
        </w:rPr>
        <w:t>5.6 Program Solvency Ledgers</w:t>
      </w:r>
    </w:p>
    <w:p>
      <w:r>
        <w:rPr>
          <w:i w:val="0"/>
        </w:rPr>
        <w:t>Social Security and Medicare require separate program-specific solvency ledgers. Official disagreements should be preserved rather than averaged away. In 2026, the Social Security Trustees project Old-Age and Survivors Insurance (OASI) reserve depletion in 2032 and combined Old-Age, Survivors, and Disability Insurance (OASDI) reserve depletion in 2034. The 2026 Medicare Trustees project Hospital Insurance (HI) reserve depletion in 2033, while the CBO projects 2040 because of different assumptions, especially about spending. Nexus should show both and explain the methodological disagreement where possible (Boards of Trustees, 2026; Congressional Budget Office, 2026d; Board of Trustees of the Federal Old-Age and Survivors Insurance and Federal Disability Insurance Trust Funds, 2026).</w:t>
      </w:r>
    </w:p>
    <w:p>
      <w:pPr>
        <w:pStyle w:val="Heading2"/>
      </w:pPr>
      <w:r>
        <w:rPr>
          <w:i w:val="0"/>
        </w:rPr>
        <w:t>5.7 Fiscal Exposure Ledger and Public-Sector Net Worth</w:t>
      </w:r>
    </w:p>
    <w:p>
      <w:r>
        <w:rPr>
          <w:i w:val="0"/>
        </w:rPr>
        <w:t>Debt, public-sector net worth, fiscal exposures, and liquidity are separate measurements. Nexus should not net away debt merely because government owns assets. Assets differ in legal availability, liquidity, valuation reliability, and public purpose. The International Monetary Fund's public-sector balance-sheet work demonstrates the value of seeing assets and liabilities together while also underscoring the operational complexity of doing so.</w:t>
      </w:r>
    </w:p>
    <w:p>
      <w:pPr>
        <w:pStyle w:val="Heading2"/>
      </w:pPr>
      <w:r>
        <w:rPr>
          <w:i w:val="0"/>
        </w:rPr>
        <w:t>5.8 Nexus Deviation Record</w:t>
      </w:r>
    </w:p>
    <w:p>
      <w:r>
        <w:rPr>
          <w:i w:val="0"/>
        </w:rPr>
        <w:t>Any material override of a Nexus waypoint or correction path should be explicit, attributable, timestamped, scored using the official baseline available at the time, and preserved alongside the later result. A future Congress remains free to choose a different policy. The purpose is not to eliminate political discretion. It is to make discretion visible.</w:t>
      </w:r>
    </w:p>
    <w:p>
      <w:pPr>
        <w:pStyle w:val="Heading2"/>
      </w:pPr>
      <w:r>
        <w:rPr>
          <w:i w:val="0"/>
        </w:rPr>
        <w:t>5.9 The Truth Gate</w:t>
      </w:r>
    </w:p>
    <w:p>
      <w:r>
        <w:rPr>
          <w:i w:val="0"/>
        </w:rPr>
        <w:t>The Truth Gate separates source ownership, estimation status, and unresolved disagreement. A public dashboard should visibly distinguish verified, estimated, qualified, and unverified information. Missing required data should remain visible as missing rather than disappearing from the presentation.</w:t>
      </w:r>
    </w:p>
    <w:p>
      <w:pPr>
        <w:pStyle w:val="Heading2"/>
      </w:pPr>
      <w:r>
        <w:rPr>
          <w:i w:val="0"/>
        </w:rPr>
        <w:t>5.10 No Additive Savings Pot</w:t>
      </w:r>
    </w:p>
    <w:p>
      <w:r>
        <w:rPr>
          <w:i w:val="0"/>
        </w:rPr>
        <w:t>Several large federal figures can look like a ready-made pool of money: estimated improper payments, the tax gap, potential benefits from GAO recommendations, tax expenditures, or possible asset values. Nexus explicitly prohibits adding those numbers together as though they were cash available for debt reduction. They use different definitions, periods, recoverability assumptions, implementation costs, and degrees of overlap.</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E8EDF3"/>
          </w:tcPr>
          <w:p>
            <w:r>
              <w:rPr>
                <w:rFonts w:ascii="Times New Roman" w:hAnsi="Times New Roman"/>
                <w:b/>
                <w:sz w:val="17"/>
              </w:rPr>
              <w:t>Item</w:t>
            </w:r>
          </w:p>
        </w:tc>
        <w:tc>
          <w:tcPr>
            <w:tcW w:type="dxa" w:w="2880"/>
            <w:shd w:fill="E8EDF3"/>
          </w:tcPr>
          <w:p>
            <w:r>
              <w:rPr>
                <w:rFonts w:ascii="Times New Roman" w:hAnsi="Times New Roman"/>
                <w:b/>
                <w:sz w:val="17"/>
              </w:rPr>
              <w:t>2026 reference</w:t>
            </w:r>
          </w:p>
        </w:tc>
        <w:tc>
          <w:tcPr>
            <w:tcW w:type="dxa" w:w="4032"/>
            <w:shd w:fill="E8EDF3"/>
          </w:tcPr>
          <w:p>
            <w:r>
              <w:rPr>
                <w:rFonts w:ascii="Times New Roman" w:hAnsi="Times New Roman"/>
                <w:b/>
                <w:sz w:val="17"/>
              </w:rPr>
              <w:t>Why it is not automatic cash</w:t>
            </w:r>
          </w:p>
        </w:tc>
      </w:tr>
      <w:tr>
        <w:tc>
          <w:tcPr>
            <w:tcW w:type="dxa" w:w="2448"/>
          </w:tcPr>
          <w:p>
            <w:pPr>
              <w:spacing w:line="240" w:lineRule="auto" w:after="0"/>
            </w:pPr>
            <w:r>
              <w:rPr>
                <w:rFonts w:ascii="Times New Roman" w:hAnsi="Times New Roman"/>
                <w:sz w:val="17"/>
              </w:rPr>
              <w:t>Estimated improper payments</w:t>
            </w:r>
          </w:p>
        </w:tc>
        <w:tc>
          <w:tcPr>
            <w:tcW w:type="dxa" w:w="2880"/>
          </w:tcPr>
          <w:p>
            <w:pPr>
              <w:spacing w:line="240" w:lineRule="auto" w:after="0"/>
            </w:pPr>
            <w:r>
              <w:rPr>
                <w:rFonts w:ascii="Times New Roman" w:hAnsi="Times New Roman"/>
                <w:sz w:val="17"/>
              </w:rPr>
              <w:t>$186B reported for FY2025</w:t>
            </w:r>
          </w:p>
        </w:tc>
        <w:tc>
          <w:tcPr>
            <w:tcW w:type="dxa" w:w="4032"/>
          </w:tcPr>
          <w:p>
            <w:pPr>
              <w:spacing w:line="240" w:lineRule="auto" w:after="0"/>
            </w:pPr>
            <w:r>
              <w:rPr>
                <w:rFonts w:ascii="Times New Roman" w:hAnsi="Times New Roman"/>
                <w:sz w:val="17"/>
              </w:rPr>
              <w:t>Not all improper payments are fraud or recoverable; some programs lack complete estimates.</w:t>
            </w:r>
          </w:p>
        </w:tc>
      </w:tr>
      <w:tr>
        <w:tc>
          <w:tcPr>
            <w:tcW w:type="dxa" w:w="2448"/>
          </w:tcPr>
          <w:p>
            <w:pPr>
              <w:spacing w:line="240" w:lineRule="auto" w:after="0"/>
            </w:pPr>
            <w:r>
              <w:rPr>
                <w:rFonts w:ascii="Times New Roman" w:hAnsi="Times New Roman"/>
                <w:sz w:val="17"/>
              </w:rPr>
              <w:t>Tax gap</w:t>
            </w:r>
          </w:p>
        </w:tc>
        <w:tc>
          <w:tcPr>
            <w:tcW w:type="dxa" w:w="2880"/>
          </w:tcPr>
          <w:p>
            <w:pPr>
              <w:spacing w:line="240" w:lineRule="auto" w:after="0"/>
            </w:pPr>
            <w:r>
              <w:rPr>
                <w:rFonts w:ascii="Times New Roman" w:hAnsi="Times New Roman"/>
                <w:sz w:val="17"/>
              </w:rPr>
              <w:t>$696B gross; $606B projected net for tax year 2022</w:t>
            </w:r>
          </w:p>
        </w:tc>
        <w:tc>
          <w:tcPr>
            <w:tcW w:type="dxa" w:w="4032"/>
          </w:tcPr>
          <w:p>
            <w:pPr>
              <w:spacing w:line="240" w:lineRule="auto" w:after="0"/>
            </w:pPr>
            <w:r>
              <w:rPr>
                <w:rFonts w:ascii="Times New Roman" w:hAnsi="Times New Roman"/>
                <w:sz w:val="17"/>
              </w:rPr>
              <w:t>The net gap is defined as the amount expected never to be recovered after enforcement and late payments.</w:t>
            </w:r>
          </w:p>
        </w:tc>
      </w:tr>
      <w:tr>
        <w:tc>
          <w:tcPr>
            <w:tcW w:type="dxa" w:w="2448"/>
          </w:tcPr>
          <w:p>
            <w:pPr>
              <w:spacing w:line="240" w:lineRule="auto" w:after="0"/>
            </w:pPr>
            <w:r>
              <w:rPr>
                <w:rFonts w:ascii="Times New Roman" w:hAnsi="Times New Roman"/>
                <w:sz w:val="17"/>
              </w:rPr>
              <w:t>Open GAO recommendations</w:t>
            </w:r>
          </w:p>
        </w:tc>
        <w:tc>
          <w:tcPr>
            <w:tcW w:type="dxa" w:w="2880"/>
          </w:tcPr>
          <w:p>
            <w:pPr>
              <w:spacing w:line="240" w:lineRule="auto" w:after="0"/>
            </w:pPr>
            <w:r>
              <w:rPr>
                <w:rFonts w:ascii="Times New Roman" w:hAnsi="Times New Roman"/>
                <w:sz w:val="17"/>
              </w:rPr>
              <w:t>$132B-$251B potential future financial benefits</w:t>
            </w:r>
          </w:p>
        </w:tc>
        <w:tc>
          <w:tcPr>
            <w:tcW w:type="dxa" w:w="4032"/>
          </w:tcPr>
          <w:p>
            <w:pPr>
              <w:spacing w:line="240" w:lineRule="auto" w:after="0"/>
            </w:pPr>
            <w:r>
              <w:rPr>
                <w:rFonts w:ascii="Times New Roman" w:hAnsi="Times New Roman"/>
                <w:sz w:val="17"/>
              </w:rPr>
              <w:t>Simulation range; depends on implementation, timing, overlap, and policy choices.</w:t>
            </w:r>
          </w:p>
        </w:tc>
      </w:tr>
    </w:tbl>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U.S. Government Accountability Office (2026b, 2026c); Internal Revenue Service (n.d.); Board of Governors of the Federal Reserve System (2025); Bureau of Economic Analysis (n.d.); TreasuryDirect (n.d.); Federal Reserve Bank of San Francisco (2026).</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define the underlying official measures. The main design lesson is restraint: Nexus should use existing measurements without converting them into claims they cannot support. The same principle applies to inflation diagnostics, purchasing-power translation, and potential fiscal recoveries.</w:t>
            </w:r>
          </w:p>
        </w:tc>
      </w:tr>
    </w:tbl>
    <w:p/>
    <w:p>
      <w:pPr>
        <w:pStyle w:val="Heading1"/>
      </w:pPr>
      <w:r>
        <w:rPr>
          <w:i w:val="0"/>
        </w:rPr>
        <w:t>6. Debt Dynamics, Purchasing Power, and Financial-Market Constraints</w:t>
      </w:r>
    </w:p>
    <w:p>
      <w:r>
        <w:rPr>
          <w:i w:val="0"/>
        </w:rPr>
        <w:t>Nexus uses standard debt arithmetic as a diagnostic framework, not as a claim that one equation determines policy. A simplified debt-to-GDP identity can be written as:</w:t>
      </w:r>
    </w:p>
    <w:p>
      <w:pPr>
        <w:pStyle w:val="BlockQuote"/>
      </w:pPr>
      <w:r>
        <w:rPr>
          <w:i w:val="0"/>
        </w:rPr>
        <w:t>d_t = [(1 + i_t) / ((1 + g_t^R)(1 + pi_t^GDP))] d_(t-1) - s_t + sf_t</w:t>
      </w:r>
    </w:p>
    <w:p>
      <w:r>
        <w:rPr>
          <w:i w:val="0"/>
        </w:rPr>
        <w:t>Here d is debt held by the public relative to GDP, i is an effective nominal interest rate, g^R is real GDP growth, pi^GDP is GDP-price inflation, s is the primary surplus relative to GDP, and sf captures stock-flow adjustments. The equation makes an important correction to an earlier Nexus overstatement: inflation can reduce the debt-to-GDP ratio mechanically when nominal GDP rises faster than outstanding debt. The appropriate response is not to deny that arithmetic but to decompose the change and identify the contribution of real growth, inflation, interest costs, primary policy, and stock-flow adjustments.</w:t>
      </w:r>
    </w:p>
    <w:p>
      <w:pPr>
        <w:pStyle w:val="Heading2"/>
      </w:pPr>
      <w:r>
        <w:rPr>
          <w:i w:val="0"/>
        </w:rPr>
        <w:t>6.1 Attribute, Do Not Moralize the Denominator</w:t>
      </w:r>
    </w:p>
    <w:p>
      <w:r>
        <w:rPr>
          <w:i w:val="0"/>
        </w:rPr>
        <w:t>A lower debt-to-GDP ratio can result from different mechanisms with different welfare implications. A change driven by stronger real productivity is not equivalent to one driven by unexpectedly high inflation, asset sales, or a primary surplus. Nexus therefore attributes contributions rather than treating every decline as the same fiscal accomplishment.</w:t>
      </w:r>
    </w:p>
    <w:p>
      <w:pPr>
        <w:pStyle w:val="Heading2"/>
      </w:pPr>
      <w:r>
        <w:rPr>
          <w:i w:val="0"/>
        </w:rPr>
        <w:t>6.2 Purchasing Power Is a Separate Question</w:t>
      </w:r>
    </w:p>
    <w:p>
      <w:r>
        <w:rPr>
          <w:i w:val="0"/>
        </w:rPr>
        <w:t>A sovereign debt ratio can improve while household purchasing power worsens. That is one reason the waypoint system uses multiple dimensions and why RVU-H remains separate from the debt corridor. The Federal Reserve's 2% longer-run inflation objective reflects macroeconomic stabilization judgments, not a claim that long-run price-level erosion is irrelevant to households. Nexus treats those as distinct questions that must be observed together.</w:t>
      </w:r>
    </w:p>
    <w:p>
      <w:pPr>
        <w:pStyle w:val="Heading2"/>
      </w:pPr>
      <w:r>
        <w:rPr>
          <w:i w:val="0"/>
        </w:rPr>
        <w:t>6.3 Treasury-Market Functionality Is a Constraint</w:t>
      </w:r>
    </w:p>
    <w:p>
      <w:r>
        <w:rPr>
          <w:i w:val="0"/>
        </w:rPr>
        <w:t>The United States Treasury market is not merely a financing channel. Treasury securities serve as benchmark assets, collateral, liquidity instruments, and safe assets throughout the financial system. Treasury's debt-management mission is to finance the government at the lowest cost over time through regular and predictable issuance while supporting market liquidity and resilience. Nexus therefore rejects a zero-debt objective and requires any proposed debt corridor to treat Treasury-market functionality as an independent constraint (U.S. Department of the Treasury, 2024, 2026c).</w:t>
      </w:r>
    </w:p>
    <w:p>
      <w:pPr>
        <w:pStyle w:val="Heading2"/>
      </w:pPr>
      <w:r>
        <w:rPr>
          <w:i w:val="0"/>
        </w:rPr>
        <w:t>6.4 Productive Investment Test</w:t>
      </w:r>
    </w:p>
    <w:p>
      <w:r>
        <w:rPr>
          <w:i w:val="0"/>
        </w:rPr>
        <w:t>Borrowing can sometimes raise future productive capacity. The label "investment," however, does not exempt a project from scrutiny. A Productive Investment Test should require expected social and economic returns, financing cost, risk, implementation capability, lifecycle cost, alternatives, distributional effects, and post-completion performance. Where evidence is weak, the uncertainty should be part of the decision rather than buried after approval.</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Congressional Budget Office (2026a, 2026c); Board of Governors of the Federal Reserve System (2025); U.S. Department of the Treasury (2024, 2026c); TreasuryDirect (n.d.); International Monetary Fund (2018).</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establish the official debt outlook, show how changes in interest rates and productivity affect deficits, explain the monetary-policy rationale for the 2% inflation objective, demonstrate the operational role of Treasury securities, and support separate analysis of government assets and liabilities. Together they argue against one-dimensional fiscal targets.</w:t>
            </w:r>
          </w:p>
        </w:tc>
      </w:tr>
    </w:tbl>
    <w:p/>
    <w:p>
      <w:pPr>
        <w:pStyle w:val="Heading1"/>
      </w:pPr>
      <w:r>
        <w:rPr>
          <w:i w:val="0"/>
        </w:rPr>
        <w:t>7. The Shadow Nexus Pilot</w:t>
      </w:r>
    </w:p>
    <w:p>
      <w:r>
        <w:rPr>
          <w:i w:val="0"/>
        </w:rPr>
        <w:t>Nexus proposes evaluation before authority. A possible statutory vehicle could be titled the Nexus Fiscal and Monetary Resilience Evaluation Act, but the title is secondary to the design: test the framework in parallel with existing institutions before allowing any component to influence binding policy.</w:t>
      </w:r>
    </w:p>
    <w:p>
      <w:pPr>
        <w:pStyle w:val="Heading2"/>
      </w:pPr>
      <w:r>
        <w:rPr>
          <w:i w:val="0"/>
        </w:rPr>
        <w:t>7.1 Phase I - Technical Validation</w:t>
      </w:r>
    </w:p>
    <w:p>
      <w:r>
        <w:rPr>
          <w:i w:val="0"/>
        </w:rPr>
        <w:t>A 12- to 18-month technical phase would define data ownership, reconcile terms across agencies, publish equations and source mappings, build independent reference implementations, pre-register evaluation criteria, and identify unresolved legal and institutional conflicts. The objective is not to produce a persuasive dashboard quickly. It is to discover whether the underlying definitions can survive replication.</w:t>
      </w:r>
    </w:p>
    <w:p>
      <w:pPr>
        <w:pStyle w:val="Heading2"/>
      </w:pPr>
      <w:r>
        <w:rPr>
          <w:i w:val="0"/>
        </w:rPr>
        <w:t>7.2 Phase II - Shadow Operation</w:t>
      </w:r>
    </w:p>
    <w:p>
      <w:r>
        <w:rPr>
          <w:i w:val="0"/>
        </w:rPr>
        <w:t>A shadow phase should operate for at least three fiscal years. It would publish contemporaneous results without altering taxes, benefits, Treasury issuance, Federal Reserve decisions, or private contracts. Later evaluation would compare the shadow record with outcomes while preserving what analysts knew at the time rather than judging only with revised hindsight data.</w:t>
      </w:r>
    </w:p>
    <w:p>
      <w:pPr>
        <w:pStyle w:val="Heading2"/>
      </w:pPr>
      <w:r>
        <w:rPr>
          <w:i w:val="0"/>
        </w:rPr>
        <w:t>7.3 Independent Replication and Red Team</w:t>
      </w:r>
    </w:p>
    <w:p>
      <w:r>
        <w:rPr>
          <w:i w:val="0"/>
        </w:rPr>
        <w:t>At least two independent groups should reproduce material derived results. A separate hostile Red Team should be explicitly tasked to find mathematical errors, hidden assumptions, manipulation paths, institutional conflicts, perverse incentives, and cases in which existing government reporting is already superior.</w:t>
      </w:r>
    </w:p>
    <w:p>
      <w:pPr>
        <w:pStyle w:val="Heading2"/>
      </w:pPr>
      <w:r>
        <w:rPr>
          <w:i w:val="0"/>
        </w:rPr>
        <w:t>7.4 No-Authority Clause</w:t>
      </w:r>
    </w:p>
    <w:p>
      <w:r>
        <w:rPr>
          <w:i w:val="0"/>
        </w:rPr>
        <w:t>During the pilot, Nexus cannot alter taxes, Social Security or Medicare benefits or eligibility, the dollar, deposits, private contracts, Treasury security terms, Federal Reserve rates, or appropriations. It may publish analysis and correction options. It may not execute them automatically.</w:t>
      </w:r>
    </w:p>
    <w:p>
      <w:pPr>
        <w:pStyle w:val="Heading2"/>
      </w:pPr>
      <w:r>
        <w:rPr>
          <w:i w:val="0"/>
        </w:rPr>
        <w:t>7.5 Pre-Registered Success Criteria</w:t>
      </w:r>
    </w:p>
    <w:p>
      <w:pPr>
        <w:pStyle w:val="NoIndent"/>
        <w:spacing w:line="360" w:lineRule="auto"/>
        <w:ind w:left="360" w:hanging="259"/>
      </w:pPr>
      <w:r>
        <w:rPr>
          <w:b/>
        </w:rPr>
        <w:t xml:space="preserve">• </w:t>
      </w:r>
      <w:r>
        <w:t>Did Nexus identify material fiscal deterioration earlier or more clearly than existing reporting?</w:t>
      </w:r>
    </w:p>
    <w:p>
      <w:pPr>
        <w:pStyle w:val="NoIndent"/>
        <w:spacing w:line="360" w:lineRule="auto"/>
        <w:ind w:left="360" w:hanging="259"/>
      </w:pPr>
      <w:r>
        <w:rPr>
          <w:b/>
        </w:rPr>
        <w:t xml:space="preserve">• </w:t>
      </w:r>
      <w:r>
        <w:t>Did the Emergency Recovery Ledger materially improve understanding of extraordinary borrowing?</w:t>
      </w:r>
    </w:p>
    <w:p>
      <w:pPr>
        <w:pStyle w:val="NoIndent"/>
        <w:spacing w:line="360" w:lineRule="auto"/>
        <w:ind w:left="360" w:hanging="259"/>
      </w:pPr>
      <w:r>
        <w:rPr>
          <w:b/>
        </w:rPr>
        <w:t xml:space="preserve">• </w:t>
      </w:r>
      <w:r>
        <w:t>Did preserved baselines improve accountability for policy changes?</w:t>
      </w:r>
    </w:p>
    <w:p>
      <w:pPr>
        <w:pStyle w:val="NoIndent"/>
        <w:spacing w:line="360" w:lineRule="auto"/>
        <w:ind w:left="360" w:hanging="259"/>
      </w:pPr>
      <w:r>
        <w:rPr>
          <w:b/>
        </w:rPr>
        <w:t xml:space="preserve">• </w:t>
      </w:r>
      <w:r>
        <w:t>Could independent analysts reproduce principal derived indicators?</w:t>
      </w:r>
    </w:p>
    <w:p>
      <w:pPr>
        <w:pStyle w:val="NoIndent"/>
        <w:spacing w:line="360" w:lineRule="auto"/>
        <w:ind w:left="360" w:hanging="259"/>
      </w:pPr>
      <w:r>
        <w:rPr>
          <w:b/>
        </w:rPr>
        <w:t xml:space="preserve">• </w:t>
      </w:r>
      <w:r>
        <w:t>Did the Distributional Truth Gate reveal material burden shifts otherwise obscured?</w:t>
      </w:r>
    </w:p>
    <w:p>
      <w:pPr>
        <w:pStyle w:val="NoIndent"/>
        <w:spacing w:line="360" w:lineRule="auto"/>
        <w:ind w:left="360" w:hanging="259"/>
      </w:pPr>
      <w:r>
        <w:rPr>
          <w:b/>
        </w:rPr>
        <w:t xml:space="preserve">• </w:t>
      </w:r>
      <w:r>
        <w:t>Did correction-path analysis improve understanding of available choices?</w:t>
      </w:r>
    </w:p>
    <w:p>
      <w:pPr>
        <w:pStyle w:val="NoIndent"/>
        <w:spacing w:line="360" w:lineRule="auto"/>
        <w:ind w:left="360" w:hanging="259"/>
      </w:pPr>
      <w:r>
        <w:rPr>
          <w:b/>
        </w:rPr>
        <w:t xml:space="preserve">• </w:t>
      </w:r>
      <w:r>
        <w:t>Did real users use the system, or did it become another unread report?</w:t>
      </w:r>
    </w:p>
    <w:p>
      <w:pPr>
        <w:pStyle w:val="NoIndent"/>
        <w:spacing w:line="360" w:lineRule="auto"/>
        <w:ind w:left="360" w:hanging="259"/>
      </w:pPr>
      <w:r>
        <w:rPr>
          <w:b/>
        </w:rPr>
        <w:t xml:space="preserve">• </w:t>
      </w:r>
      <w:r>
        <w:t>Did the information benefit exceed administrative and analytical cost?</w:t>
      </w:r>
    </w:p>
    <w:p>
      <w:pPr>
        <w:pStyle w:val="Heading2"/>
      </w:pPr>
      <w:r>
        <w:rPr>
          <w:i w:val="0"/>
        </w:rPr>
        <w:t>7.6 Sunset</w:t>
      </w:r>
    </w:p>
    <w:p>
      <w:r>
        <w:rPr>
          <w:i w:val="0"/>
        </w:rPr>
        <w:t>The pilot should end automatically after a defined period - approximately six years is an illustrative policy choice, not a scientific requirement - unless Congress affirmatively reauthorizes, modifies, or replaces it. Nexus must be allowed to die if it is redundant, too expensive, too gameable, or insufficiently useful.</w:t>
      </w:r>
    </w:p>
    <w:p>
      <w:pPr>
        <w:pStyle w:val="BlockQuote"/>
      </w:pPr>
      <w:r>
        <w:rPr>
          <w:i w:val="0"/>
        </w:rPr>
        <w:t>Two votes: test it; only then use any of it.</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Congressional Budget Office (2026c); Croushore and Stark (2001); U.S. Government Accountability Office (2026a).</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support the pilot's emphasis on sensitivity testing, contemporaneous data vintages, reproducibility, and control integrity. None endorses the proposed pilot. They provide methods and institutional lessons the pilot should be required to meet.</w:t>
            </w:r>
          </w:p>
        </w:tc>
      </w:tr>
    </w:tbl>
    <w:p/>
    <w:p>
      <w:pPr>
        <w:pStyle w:val="Heading1"/>
      </w:pPr>
      <w:r>
        <w:rPr>
          <w:i w:val="0"/>
        </w:rPr>
        <w:t>8. Adaptive Alignment and Future Recalibration</w:t>
      </w:r>
    </w:p>
    <w:p>
      <w:r>
        <w:rPr>
          <w:i w:val="0"/>
        </w:rPr>
        <w:t>Future-proofing Nexus does not mean predicting the future correctly. It means recognizing when the environment has moved outside the range in which the current version was tested and then forcing a transparent reconsideration.</w:t>
      </w:r>
    </w:p>
    <w:p>
      <w:pPr>
        <w:pStyle w:val="Heading2"/>
      </w:pPr>
      <w:r>
        <w:rPr>
          <w:i w:val="0"/>
        </w:rPr>
        <w:t>8.1 Permanent Design Kernel</w:t>
      </w:r>
    </w:p>
    <w:p>
      <w:pPr>
        <w:pStyle w:val="NoIndent"/>
        <w:spacing w:line="360" w:lineRule="auto"/>
        <w:ind w:left="360" w:hanging="259"/>
      </w:pPr>
      <w:r>
        <w:rPr>
          <w:b/>
        </w:rPr>
        <w:t xml:space="preserve">• </w:t>
      </w:r>
      <w:r>
        <w:t>Facts, forecasts, scenarios, and policy choices remain distinguishable.</w:t>
      </w:r>
    </w:p>
    <w:p>
      <w:pPr>
        <w:pStyle w:val="NoIndent"/>
        <w:spacing w:line="360" w:lineRule="auto"/>
        <w:ind w:left="360" w:hanging="259"/>
      </w:pPr>
      <w:r>
        <w:rPr>
          <w:b/>
        </w:rPr>
        <w:t xml:space="preserve">• </w:t>
      </w:r>
      <w:r>
        <w:t>Historical records are never silently overwritten.</w:t>
      </w:r>
    </w:p>
    <w:p>
      <w:pPr>
        <w:pStyle w:val="NoIndent"/>
        <w:spacing w:line="360" w:lineRule="auto"/>
        <w:ind w:left="360" w:hanging="259"/>
      </w:pPr>
      <w:r>
        <w:rPr>
          <w:b/>
        </w:rPr>
        <w:t xml:space="preserve">• </w:t>
      </w:r>
      <w:r>
        <w:t>Costs and benefits identify who bears them.</w:t>
      </w:r>
    </w:p>
    <w:p>
      <w:pPr>
        <w:pStyle w:val="NoIndent"/>
        <w:spacing w:line="360" w:lineRule="auto"/>
        <w:ind w:left="360" w:hanging="259"/>
      </w:pPr>
      <w:r>
        <w:rPr>
          <w:b/>
        </w:rPr>
        <w:t xml:space="preserve">• </w:t>
      </w:r>
      <w:r>
        <w:t>Emergency departures remain visible.</w:t>
      </w:r>
    </w:p>
    <w:p>
      <w:pPr>
        <w:pStyle w:val="NoIndent"/>
        <w:spacing w:line="360" w:lineRule="auto"/>
        <w:ind w:left="360" w:hanging="259"/>
      </w:pPr>
      <w:r>
        <w:rPr>
          <w:b/>
        </w:rPr>
        <w:t xml:space="preserve">• </w:t>
      </w:r>
      <w:r>
        <w:t>Material deviations require explanation.</w:t>
      </w:r>
    </w:p>
    <w:p>
      <w:pPr>
        <w:pStyle w:val="NoIndent"/>
        <w:spacing w:line="360" w:lineRule="auto"/>
        <w:ind w:left="360" w:hanging="259"/>
      </w:pPr>
      <w:r>
        <w:rPr>
          <w:b/>
        </w:rPr>
        <w:t xml:space="preserve">• </w:t>
      </w:r>
      <w:r>
        <w:t>Calculations remain independently reproducible.</w:t>
      </w:r>
    </w:p>
    <w:p>
      <w:pPr>
        <w:pStyle w:val="NoIndent"/>
        <w:spacing w:line="360" w:lineRule="auto"/>
        <w:ind w:left="360" w:hanging="259"/>
      </w:pPr>
      <w:r>
        <w:rPr>
          <w:b/>
        </w:rPr>
        <w:t xml:space="preserve">• </w:t>
      </w:r>
      <w:r>
        <w:t>Methodology changes are disclosed.</w:t>
      </w:r>
    </w:p>
    <w:p>
      <w:pPr>
        <w:pStyle w:val="NoIndent"/>
        <w:spacing w:line="360" w:lineRule="auto"/>
        <w:ind w:left="360" w:hanging="259"/>
      </w:pPr>
      <w:r>
        <w:rPr>
          <w:b/>
        </w:rPr>
        <w:t xml:space="preserve">• </w:t>
      </w:r>
      <w:r>
        <w:t>No automatic taxation, benefit reduction, monetary action, confiscation, or contract rewriting occurs.</w:t>
      </w:r>
    </w:p>
    <w:p>
      <w:pPr>
        <w:pStyle w:val="NoIndent"/>
        <w:spacing w:line="360" w:lineRule="auto"/>
        <w:ind w:left="360" w:hanging="259"/>
      </w:pPr>
      <w:r>
        <w:rPr>
          <w:b/>
        </w:rPr>
        <w:t xml:space="preserve">• </w:t>
      </w:r>
      <w:r>
        <w:t>Lawful institutions retain authority.</w:t>
      </w:r>
    </w:p>
    <w:p>
      <w:pPr>
        <w:pStyle w:val="NoIndent"/>
        <w:spacing w:line="360" w:lineRule="auto"/>
        <w:ind w:left="360" w:hanging="259"/>
      </w:pPr>
      <w:r>
        <w:rPr>
          <w:b/>
        </w:rPr>
        <w:t xml:space="preserve">• </w:t>
      </w:r>
      <w:r>
        <w:t>No single metric becomes the unquestionable definition of success.</w:t>
      </w:r>
    </w:p>
    <w:p>
      <w:pPr>
        <w:pStyle w:val="Heading2"/>
      </w:pPr>
      <w:r>
        <w:rPr>
          <w:i w:val="0"/>
        </w:rPr>
        <w:t>8.2 Adaptive Layer</w:t>
      </w:r>
    </w:p>
    <w:p>
      <w:r>
        <w:rPr>
          <w:i w:val="0"/>
        </w:rPr>
        <w:t>Measurements and models may change as interest rates, demographics, productivity, technology, the dollar's international role, artificial intelligence, energy systems, household structure, financial instruments, entitlement demographics, and statistical methods change. Adaptation is therefore allowed, but only through explicit versioning and re-testing.</w:t>
      </w:r>
    </w:p>
    <w:p>
      <w:pPr>
        <w:pStyle w:val="Heading2"/>
      </w:pPr>
      <w:r>
        <w:rPr>
          <w:i w:val="0"/>
        </w:rPr>
        <w:t>8.3 Self-Alignment Loop</w:t>
      </w:r>
    </w:p>
    <w:p>
      <w:pPr>
        <w:pStyle w:val="NoIndent"/>
        <w:spacing w:line="360" w:lineRule="auto"/>
        <w:ind w:left="403" w:hanging="403"/>
      </w:pPr>
      <w:r>
        <w:rPr>
          <w:b/>
        </w:rPr>
        <w:t xml:space="preserve">1. </w:t>
      </w:r>
      <w:r>
        <w:t>Observe reality.</w:t>
      </w:r>
    </w:p>
    <w:p>
      <w:pPr>
        <w:pStyle w:val="NoIndent"/>
        <w:spacing w:line="360" w:lineRule="auto"/>
        <w:ind w:left="403" w:hanging="403"/>
      </w:pPr>
      <w:r>
        <w:rPr>
          <w:b/>
        </w:rPr>
        <w:t xml:space="preserve">2. </w:t>
      </w:r>
      <w:r>
        <w:t>Compare observed conditions with the assumptions and measurement ranges of the current Nexus version.</w:t>
      </w:r>
    </w:p>
    <w:p>
      <w:pPr>
        <w:pStyle w:val="NoIndent"/>
        <w:spacing w:line="360" w:lineRule="auto"/>
        <w:ind w:left="403" w:hanging="403"/>
      </w:pPr>
      <w:r>
        <w:rPr>
          <w:b/>
        </w:rPr>
        <w:t xml:space="preserve">3. </w:t>
      </w:r>
      <w:r>
        <w:t>Detect material drift.</w:t>
      </w:r>
    </w:p>
    <w:p>
      <w:pPr>
        <w:pStyle w:val="NoIndent"/>
        <w:spacing w:line="360" w:lineRule="auto"/>
        <w:ind w:left="403" w:hanging="403"/>
      </w:pPr>
      <w:r>
        <w:rPr>
          <w:b/>
        </w:rPr>
        <w:t xml:space="preserve">4. </w:t>
      </w:r>
      <w:r>
        <w:t>Identify what changed and why.</w:t>
      </w:r>
    </w:p>
    <w:p>
      <w:pPr>
        <w:pStyle w:val="NoIndent"/>
        <w:spacing w:line="360" w:lineRule="auto"/>
        <w:ind w:left="403" w:hanging="403"/>
      </w:pPr>
      <w:r>
        <w:rPr>
          <w:b/>
        </w:rPr>
        <w:t xml:space="preserve">5. </w:t>
      </w:r>
      <w:r>
        <w:t>Re-test factual integrity through Gate 1.</w:t>
      </w:r>
    </w:p>
    <w:p>
      <w:pPr>
        <w:pStyle w:val="NoIndent"/>
        <w:spacing w:line="360" w:lineRule="auto"/>
        <w:ind w:left="403" w:hanging="403"/>
      </w:pPr>
      <w:r>
        <w:rPr>
          <w:b/>
        </w:rPr>
        <w:t xml:space="preserve">6. </w:t>
      </w:r>
      <w:r>
        <w:t>Re-test institutional compatibility through Gate 2.</w:t>
      </w:r>
    </w:p>
    <w:p>
      <w:pPr>
        <w:pStyle w:val="NoIndent"/>
        <w:spacing w:line="360" w:lineRule="auto"/>
        <w:ind w:left="403" w:hanging="403"/>
      </w:pPr>
      <w:r>
        <w:rPr>
          <w:b/>
        </w:rPr>
        <w:t xml:space="preserve">7. </w:t>
      </w:r>
      <w:r>
        <w:t>Re-test stakeholder incentives through Gate 3.</w:t>
      </w:r>
    </w:p>
    <w:p>
      <w:pPr>
        <w:pStyle w:val="NoIndent"/>
        <w:spacing w:line="360" w:lineRule="auto"/>
        <w:ind w:left="403" w:hanging="403"/>
      </w:pPr>
      <w:r>
        <w:rPr>
          <w:b/>
        </w:rPr>
        <w:t xml:space="preserve">8. </w:t>
      </w:r>
      <w:r>
        <w:t>Run the proposed revision through Gates 4 through 6.</w:t>
      </w:r>
    </w:p>
    <w:p>
      <w:pPr>
        <w:pStyle w:val="NoIndent"/>
        <w:spacing w:line="360" w:lineRule="auto"/>
        <w:ind w:left="403" w:hanging="403"/>
      </w:pPr>
      <w:r>
        <w:rPr>
          <w:b/>
        </w:rPr>
        <w:t xml:space="preserve">9. </w:t>
      </w:r>
      <w:r>
        <w:t>Require independent replication and challenge.</w:t>
      </w:r>
    </w:p>
    <w:p>
      <w:pPr>
        <w:pStyle w:val="NoIndent"/>
        <w:spacing w:line="360" w:lineRule="auto"/>
        <w:ind w:left="403" w:hanging="403"/>
      </w:pPr>
      <w:r>
        <w:rPr>
          <w:b/>
        </w:rPr>
        <w:t xml:space="preserve">10. </w:t>
      </w:r>
      <w:r>
        <w:t>Publish OLD versus PROPOSED methodology and results side by side.</w:t>
      </w:r>
    </w:p>
    <w:p>
      <w:pPr>
        <w:pStyle w:val="NoIndent"/>
        <w:spacing w:line="360" w:lineRule="auto"/>
        <w:ind w:left="403" w:hanging="403"/>
      </w:pPr>
      <w:r>
        <w:rPr>
          <w:b/>
        </w:rPr>
        <w:t xml:space="preserve">11. </w:t>
      </w:r>
      <w:r>
        <w:t>Require legitimate human authorization.</w:t>
      </w:r>
    </w:p>
    <w:p>
      <w:pPr>
        <w:pStyle w:val="NoIndent"/>
        <w:spacing w:line="360" w:lineRule="auto"/>
        <w:ind w:left="403" w:hanging="403"/>
      </w:pPr>
      <w:r>
        <w:rPr>
          <w:b/>
        </w:rPr>
        <w:t xml:space="preserve">12. </w:t>
      </w:r>
      <w:r>
        <w:t>Begin a new version while preserving the old version permanently.</w:t>
      </w:r>
    </w:p>
    <w:p>
      <w:pPr>
        <w:pStyle w:val="Heading2"/>
      </w:pPr>
      <w:r>
        <w:rPr>
          <w:i w:val="0"/>
        </w:rPr>
        <w:t>8.4 Drift Triggers Are Model-Validity Triggers, Not Policy Triggers</w:t>
      </w:r>
    </w:p>
    <w:p>
      <w:r>
        <w:rPr>
          <w:i w:val="0"/>
        </w:rPr>
        <w:t>Possible drift triggers include persistent changes in interest costs relative to revenue, productivity growth, population or labor-force growth, inflation behavior, Treasury-market liquidity, foreign demand for dollar assets, federal revenue structure, entitlement demographics, household purchasing-power patterns, wealth and income distribution, technological productivity, financial-system architecture, emergency borrowing, and the reliability of underlying statistical measures.</w:t>
      </w:r>
    </w:p>
    <w:p>
      <w:r>
        <w:rPr>
          <w:i w:val="0"/>
        </w:rPr>
        <w:t>A trigger should say, in effect, "the environment has moved outside the tested range; re-evaluation is required." It should not say, "taxes automatically rise" or "benefits automatically fall."</w:t>
      </w:r>
    </w:p>
    <w:p>
      <w:pPr>
        <w:pStyle w:val="Heading2"/>
      </w:pPr>
      <w:r>
        <w:rPr>
          <w:i w:val="0"/>
        </w:rPr>
        <w:t>8.5 Artificial Intelligence as Assistant, Not Governor</w:t>
      </w:r>
    </w:p>
    <w:p>
      <w:r>
        <w:rPr>
          <w:i w:val="0"/>
        </w:rPr>
        <w:t>Artificial-intelligence systems may help reconcile public data, identify anomalies, generate scenarios, compare historical vintages, test stakeholder incidence, and evaluate model performance. They should not autonomously rewrite governing principles, select political weights, or authorize policy. A system designed to preserve democratic accountability should not silently hand that accountability to an optimization model.</w:t>
      </w:r>
    </w:p>
    <w:p>
      <w:pPr>
        <w:pStyle w:val="BlockQuote"/>
      </w:pPr>
      <w:r>
        <w:rPr>
          <w:i w:val="0"/>
        </w:rPr>
        <w:t>Stable principles. Adaptive measurements. Preserved history. Explicit change.</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Lucas (1976); Goodhart (1975); Croushore and Stark (2001); Federal Reserve Bank of Philadelphia (n.d.).</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explain why policy rules, measured relationships, and even the data available in real time can become unstable. The Nexus self-alignment loop is a governance response to that problem: detect drift, preserve the old version, and force a visible human-governed re-evaluation.</w:t>
            </w:r>
          </w:p>
        </w:tc>
      </w:tr>
    </w:tbl>
    <w:p/>
    <w:p>
      <w:pPr>
        <w:pStyle w:val="Heading1"/>
      </w:pPr>
      <w:r>
        <w:rPr>
          <w:i w:val="0"/>
        </w:rPr>
        <w:t>9. Limitations, Unresolved Questions, and Conditions for Rejection</w:t>
      </w:r>
    </w:p>
    <w:p>
      <w:r>
        <w:rPr>
          <w:i w:val="0"/>
        </w:rPr>
        <w:t>Nexus is not presented as proven. The following limitations remain material and should be treated as reasons for expert scrutiny rather than inconveniences to be minimized.</w:t>
      </w:r>
    </w:p>
    <w:p>
      <w:pPr>
        <w:pStyle w:val="NoIndent"/>
        <w:spacing w:line="360" w:lineRule="auto"/>
        <w:ind w:left="360" w:hanging="259"/>
      </w:pPr>
      <w:r>
        <w:rPr>
          <w:b/>
        </w:rPr>
        <w:t xml:space="preserve">• </w:t>
      </w:r>
      <w:r>
        <w:t>No formal academic peer review has yet been completed.</w:t>
      </w:r>
    </w:p>
    <w:p>
      <w:pPr>
        <w:pStyle w:val="NoIndent"/>
        <w:spacing w:line="360" w:lineRule="auto"/>
        <w:ind w:left="360" w:hanging="259"/>
      </w:pPr>
      <w:r>
        <w:rPr>
          <w:b/>
        </w:rPr>
        <w:t xml:space="preserve">• </w:t>
      </w:r>
      <w:r>
        <w:t>The sustainable debt corridor has not been defined and may prove too contestable to serve as a governing indicator.</w:t>
      </w:r>
    </w:p>
    <w:p>
      <w:pPr>
        <w:pStyle w:val="NoIndent"/>
        <w:spacing w:line="360" w:lineRule="auto"/>
        <w:ind w:left="360" w:hanging="259"/>
      </w:pPr>
      <w:r>
        <w:rPr>
          <w:b/>
        </w:rPr>
        <w:t xml:space="preserve">• </w:t>
      </w:r>
      <w:r>
        <w:t>Asset and public-sector net-worth treatment remains operationally difficult because of valuation, liquidity, legal availability, and public-purpose constraints.</w:t>
      </w:r>
    </w:p>
    <w:p>
      <w:pPr>
        <w:pStyle w:val="NoIndent"/>
        <w:spacing w:line="360" w:lineRule="auto"/>
        <w:ind w:left="360" w:hanging="259"/>
      </w:pPr>
      <w:r>
        <w:rPr>
          <w:b/>
        </w:rPr>
        <w:t xml:space="preserve">• </w:t>
      </w:r>
      <w:r>
        <w:t>The Nexus Inflation Diagnostics Dashboard has no validated composite score, and this edition proposes none.</w:t>
      </w:r>
    </w:p>
    <w:p>
      <w:pPr>
        <w:pStyle w:val="NoIndent"/>
        <w:spacing w:line="360" w:lineRule="auto"/>
        <w:ind w:left="360" w:hanging="259"/>
      </w:pPr>
      <w:r>
        <w:rPr>
          <w:b/>
        </w:rPr>
        <w:t xml:space="preserve">• </w:t>
      </w:r>
      <w:r>
        <w:t>The Real Value Unit-Household remains a reporting concept; its base convention and household interpretation require testing.</w:t>
      </w:r>
    </w:p>
    <w:p>
      <w:pPr>
        <w:pStyle w:val="NoIndent"/>
        <w:spacing w:line="360" w:lineRule="auto"/>
        <w:ind w:left="360" w:hanging="259"/>
      </w:pPr>
      <w:r>
        <w:rPr>
          <w:b/>
        </w:rPr>
        <w:t xml:space="preserve">• </w:t>
      </w:r>
      <w:r>
        <w:t>Stakeholder incentive mapping is partly qualitative and may miss politically important coalitions, cross-border actors, or strategic behavior.</w:t>
      </w:r>
    </w:p>
    <w:p>
      <w:pPr>
        <w:pStyle w:val="NoIndent"/>
        <w:spacing w:line="360" w:lineRule="auto"/>
        <w:ind w:left="360" w:hanging="259"/>
      </w:pPr>
      <w:r>
        <w:rPr>
          <w:b/>
        </w:rPr>
        <w:t xml:space="preserve">• </w:t>
      </w:r>
      <w:r>
        <w:t>The administrative cost of reconciliation, replication, data preservation, and public communication may exceed the value created.</w:t>
      </w:r>
    </w:p>
    <w:p>
      <w:pPr>
        <w:pStyle w:val="NoIndent"/>
        <w:spacing w:line="360" w:lineRule="auto"/>
        <w:ind w:left="360" w:hanging="259"/>
      </w:pPr>
      <w:r>
        <w:rPr>
          <w:b/>
        </w:rPr>
        <w:t xml:space="preserve">• </w:t>
      </w:r>
      <w:r>
        <w:t>Congress cannot be permanently bound by an ordinary statute; political durability must come from transparency, utility, and aligned incentives rather than a promise of permanence.</w:t>
      </w:r>
    </w:p>
    <w:p>
      <w:pPr>
        <w:pStyle w:val="NoIndent"/>
        <w:spacing w:line="360" w:lineRule="auto"/>
        <w:ind w:left="360" w:hanging="259"/>
      </w:pPr>
      <w:r>
        <w:rPr>
          <w:b/>
        </w:rPr>
        <w:t xml:space="preserve">• </w:t>
      </w:r>
      <w:r>
        <w:t>A public dashboard can create false confidence if complex uncertainty is compressed for readability.</w:t>
      </w:r>
    </w:p>
    <w:p>
      <w:pPr>
        <w:pStyle w:val="NoIndent"/>
        <w:spacing w:line="360" w:lineRule="auto"/>
        <w:ind w:left="360" w:hanging="259"/>
      </w:pPr>
      <w:r>
        <w:rPr>
          <w:b/>
        </w:rPr>
        <w:t xml:space="preserve">• </w:t>
      </w:r>
      <w:r>
        <w:t>The relationship between fiscal sustainability, monetary conditions, distribution, environmental conditions, and social stability cannot be reduced to one optimization function without political value judgments.</w:t>
      </w:r>
    </w:p>
    <w:p>
      <w:pPr>
        <w:pStyle w:val="Heading2"/>
      </w:pPr>
      <w:r>
        <w:rPr>
          <w:i w:val="0"/>
        </w:rPr>
        <w:t>9.1 Conditions Under Which Nexus Should Be Rejected or Terminated</w:t>
      </w:r>
    </w:p>
    <w:p>
      <w:pPr>
        <w:pStyle w:val="NoIndent"/>
        <w:spacing w:line="360" w:lineRule="auto"/>
        <w:ind w:left="360" w:hanging="259"/>
      </w:pPr>
      <w:r>
        <w:rPr>
          <w:b/>
        </w:rPr>
        <w:t xml:space="preserve">• </w:t>
      </w:r>
      <w:r>
        <w:t>Independent replication repeatedly fails.</w:t>
      </w:r>
    </w:p>
    <w:p>
      <w:pPr>
        <w:pStyle w:val="NoIndent"/>
        <w:spacing w:line="360" w:lineRule="auto"/>
        <w:ind w:left="360" w:hanging="259"/>
      </w:pPr>
      <w:r>
        <w:rPr>
          <w:b/>
        </w:rPr>
        <w:t xml:space="preserve">• </w:t>
      </w:r>
      <w:r>
        <w:t>The framework cannot define key indicators without arbitrary or politically loaded weights.</w:t>
      </w:r>
    </w:p>
    <w:p>
      <w:pPr>
        <w:pStyle w:val="NoIndent"/>
        <w:spacing w:line="360" w:lineRule="auto"/>
        <w:ind w:left="360" w:hanging="259"/>
      </w:pPr>
      <w:r>
        <w:rPr>
          <w:b/>
        </w:rPr>
        <w:t xml:space="preserve">• </w:t>
      </w:r>
      <w:r>
        <w:t>Existing institutions already provide equivalent decision value at lower cost.</w:t>
      </w:r>
    </w:p>
    <w:p>
      <w:pPr>
        <w:pStyle w:val="NoIndent"/>
        <w:spacing w:line="360" w:lineRule="auto"/>
        <w:ind w:left="360" w:hanging="259"/>
      </w:pPr>
      <w:r>
        <w:rPr>
          <w:b/>
        </w:rPr>
        <w:t xml:space="preserve">• </w:t>
      </w:r>
      <w:r>
        <w:t>The system creates stronger incentives for gaming than for honest reporting.</w:t>
      </w:r>
    </w:p>
    <w:p>
      <w:pPr>
        <w:pStyle w:val="NoIndent"/>
        <w:spacing w:line="360" w:lineRule="auto"/>
        <w:ind w:left="360" w:hanging="259"/>
      </w:pPr>
      <w:r>
        <w:rPr>
          <w:b/>
        </w:rPr>
        <w:t xml:space="preserve">• </w:t>
      </w:r>
      <w:r>
        <w:t>The public-facing layer systematically misleads by oversimplifying uncertainty.</w:t>
      </w:r>
    </w:p>
    <w:p>
      <w:pPr>
        <w:pStyle w:val="NoIndent"/>
        <w:spacing w:line="360" w:lineRule="auto"/>
        <w:ind w:left="360" w:hanging="259"/>
      </w:pPr>
      <w:r>
        <w:rPr>
          <w:b/>
        </w:rPr>
        <w:t xml:space="preserve">• </w:t>
      </w:r>
      <w:r>
        <w:t>Administrative burden causes agencies to delay or degrade more important statutory work.</w:t>
      </w:r>
    </w:p>
    <w:p>
      <w:pPr>
        <w:pStyle w:val="NoIndent"/>
        <w:spacing w:line="360" w:lineRule="auto"/>
        <w:ind w:left="360" w:hanging="259"/>
      </w:pPr>
      <w:r>
        <w:rPr>
          <w:b/>
        </w:rPr>
        <w:t xml:space="preserve">• </w:t>
      </w:r>
      <w:r>
        <w:t>The framework becomes a vehicle for automatic policy actions that bypass lawful democratic decision making.</w:t>
      </w:r>
    </w:p>
    <w:p>
      <w:pPr>
        <w:pStyle w:val="NoIndent"/>
        <w:spacing w:line="360" w:lineRule="auto"/>
        <w:ind w:left="360" w:hanging="259"/>
      </w:pPr>
      <w:r>
        <w:rPr>
          <w:b/>
        </w:rPr>
        <w:t xml:space="preserve">• </w:t>
      </w:r>
      <w:r>
        <w:t>The pilot's measurable benefits do not exceed its costs.</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U.S. Government Accountability Office (2026a); Goodhart (1975); Lucas (1976).</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GAO's audit findings demonstrate that even mature federal systems can suffer persistent control weaknesses. Goodhart and Lucas warn that metrics and models can become unstable when used for control. These are reasons to build explicit termination criteria into Nexus rather than assuming institutional survival is evidence of success.</w:t>
            </w:r>
          </w:p>
        </w:tc>
      </w:tr>
    </w:tbl>
    <w:p/>
    <w:p>
      <w:pPr>
        <w:pStyle w:val="Heading1"/>
      </w:pPr>
      <w:r>
        <w:rPr>
          <w:i w:val="0"/>
        </w:rPr>
        <w:t>10. Research and External-Review Agenda</w:t>
      </w:r>
    </w:p>
    <w:p>
      <w:r>
        <w:rPr>
          <w:i w:val="0"/>
        </w:rPr>
        <w:t>The next stage should not be broader promotion. It should be qualified external challenge. The strongest useful review request is not "Do you support Nexus?" but "What are the strongest technical reasons this proposal is wrong, incomplete, redundant, or impractical?"</w:t>
      </w:r>
    </w:p>
    <w:p>
      <w:pPr>
        <w:pStyle w:val="Heading2"/>
      </w:pPr>
      <w:r>
        <w:rPr>
          <w:i w:val="0"/>
        </w:rPr>
        <w:t>10.1 Priority Review Disciplines</w:t>
      </w:r>
    </w:p>
    <w:p>
      <w:pPr>
        <w:pStyle w:val="NoIndent"/>
        <w:spacing w:line="360" w:lineRule="auto"/>
        <w:ind w:left="360" w:hanging="259"/>
      </w:pPr>
      <w:r>
        <w:rPr>
          <w:b/>
        </w:rPr>
        <w:t xml:space="preserve">• </w:t>
      </w:r>
      <w:r>
        <w:t>Macroeconomics and monetary economics - debt dynamics, inflation, growth, behavioral response, and model regime change.</w:t>
      </w:r>
    </w:p>
    <w:p>
      <w:pPr>
        <w:pStyle w:val="NoIndent"/>
        <w:spacing w:line="360" w:lineRule="auto"/>
        <w:ind w:left="360" w:hanging="259"/>
      </w:pPr>
      <w:r>
        <w:rPr>
          <w:b/>
        </w:rPr>
        <w:t xml:space="preserve">• </w:t>
      </w:r>
      <w:r>
        <w:t>Public finance - fiscal sustainability, tax and spending incidence, trust funds, and intergenerational distribution.</w:t>
      </w:r>
    </w:p>
    <w:p>
      <w:pPr>
        <w:pStyle w:val="NoIndent"/>
        <w:spacing w:line="360" w:lineRule="auto"/>
        <w:ind w:left="360" w:hanging="259"/>
      </w:pPr>
      <w:r>
        <w:rPr>
          <w:b/>
        </w:rPr>
        <w:t xml:space="preserve">• </w:t>
      </w:r>
      <w:r>
        <w:t>Treasury-market structure - collateral, liquidity, safe-asset demand, issuance strategy, and financial-system consequences of debt reduction.</w:t>
      </w:r>
    </w:p>
    <w:p>
      <w:pPr>
        <w:pStyle w:val="NoIndent"/>
        <w:spacing w:line="360" w:lineRule="auto"/>
        <w:ind w:left="360" w:hanging="259"/>
      </w:pPr>
      <w:r>
        <w:rPr>
          <w:b/>
        </w:rPr>
        <w:t xml:space="preserve">• </w:t>
      </w:r>
      <w:r>
        <w:t>Government accounting and audit - reproducibility, data quality, public-sector net worth, control weaknesses, and audit ownership.</w:t>
      </w:r>
    </w:p>
    <w:p>
      <w:pPr>
        <w:pStyle w:val="NoIndent"/>
        <w:spacing w:line="360" w:lineRule="auto"/>
        <w:ind w:left="360" w:hanging="259"/>
      </w:pPr>
      <w:r>
        <w:rPr>
          <w:b/>
        </w:rPr>
        <w:t xml:space="preserve">• </w:t>
      </w:r>
      <w:r>
        <w:t>Constitutional and administrative law - authority boundaries, congressional discretion, data publication duties, and statutory sunset design.</w:t>
      </w:r>
    </w:p>
    <w:p>
      <w:pPr>
        <w:pStyle w:val="NoIndent"/>
        <w:spacing w:line="360" w:lineRule="auto"/>
        <w:ind w:left="360" w:hanging="259"/>
      </w:pPr>
      <w:r>
        <w:rPr>
          <w:b/>
        </w:rPr>
        <w:t xml:space="preserve">• </w:t>
      </w:r>
      <w:r>
        <w:t>State and local finance - incidence of federal policy on subnational budgets.</w:t>
      </w:r>
    </w:p>
    <w:p>
      <w:pPr>
        <w:pStyle w:val="NoIndent"/>
        <w:spacing w:line="360" w:lineRule="auto"/>
        <w:ind w:left="360" w:hanging="259"/>
      </w:pPr>
      <w:r>
        <w:rPr>
          <w:b/>
        </w:rPr>
        <w:t xml:space="preserve">• </w:t>
      </w:r>
      <w:r>
        <w:t>Behavioral economics and political economy - incentive compatibility, capture, evasion, coalition formation, and legitimacy.</w:t>
      </w:r>
    </w:p>
    <w:p>
      <w:pPr>
        <w:pStyle w:val="NoIndent"/>
        <w:spacing w:line="360" w:lineRule="auto"/>
        <w:ind w:left="360" w:hanging="259"/>
      </w:pPr>
      <w:r>
        <w:rPr>
          <w:b/>
        </w:rPr>
        <w:t xml:space="preserve">• </w:t>
      </w:r>
      <w:r>
        <w:t>Environmental and resilience analysis - where fiscal decisions create or transfer long-duration environmental liabilities.</w:t>
      </w:r>
    </w:p>
    <w:p>
      <w:pPr>
        <w:pStyle w:val="NoIndent"/>
        <w:spacing w:line="360" w:lineRule="auto"/>
        <w:ind w:left="360" w:hanging="259"/>
      </w:pPr>
      <w:r>
        <w:rPr>
          <w:b/>
        </w:rPr>
        <w:t xml:space="preserve">• </w:t>
      </w:r>
      <w:r>
        <w:t>Data engineering and cybersecurity - versioning, signatures, access separation, reproducibility, and public archives.</w:t>
      </w:r>
    </w:p>
    <w:p>
      <w:pPr>
        <w:pStyle w:val="Heading2"/>
      </w:pPr>
      <w:r>
        <w:rPr>
          <w:i w:val="0"/>
        </w:rPr>
        <w:t>10.2 Questions for Reviewers</w:t>
      </w:r>
    </w:p>
    <w:p>
      <w:pPr>
        <w:pStyle w:val="NoIndent"/>
        <w:spacing w:line="360" w:lineRule="auto"/>
        <w:ind w:left="360" w:hanging="259"/>
      </w:pPr>
      <w:r>
        <w:rPr>
          <w:b/>
        </w:rPr>
        <w:t xml:space="preserve">• </w:t>
      </w:r>
      <w:r>
        <w:t>Which Nexus component duplicates an existing federal function and should be removed?</w:t>
      </w:r>
    </w:p>
    <w:p>
      <w:pPr>
        <w:pStyle w:val="NoIndent"/>
        <w:spacing w:line="360" w:lineRule="auto"/>
        <w:ind w:left="360" w:hanging="259"/>
      </w:pPr>
      <w:r>
        <w:rPr>
          <w:b/>
        </w:rPr>
        <w:t xml:space="preserve">• </w:t>
      </w:r>
      <w:r>
        <w:t>Which quantitative relationship is oversimplified or incorrectly specified?</w:t>
      </w:r>
    </w:p>
    <w:p>
      <w:pPr>
        <w:pStyle w:val="NoIndent"/>
        <w:spacing w:line="360" w:lineRule="auto"/>
        <w:ind w:left="360" w:hanging="259"/>
      </w:pPr>
      <w:r>
        <w:rPr>
          <w:b/>
        </w:rPr>
        <w:t xml:space="preserve">• </w:t>
      </w:r>
      <w:r>
        <w:t>Which stakeholder has a stronger incentive to corrupt the framework than the current Gate 3 analysis recognizes?</w:t>
      </w:r>
    </w:p>
    <w:p>
      <w:pPr>
        <w:pStyle w:val="NoIndent"/>
        <w:spacing w:line="360" w:lineRule="auto"/>
        <w:ind w:left="360" w:hanging="259"/>
      </w:pPr>
      <w:r>
        <w:rPr>
          <w:b/>
        </w:rPr>
        <w:t xml:space="preserve">• </w:t>
      </w:r>
      <w:r>
        <w:t>Which emergency would force an escape clause that accidentally destroys the return-path concept?</w:t>
      </w:r>
    </w:p>
    <w:p>
      <w:pPr>
        <w:pStyle w:val="NoIndent"/>
        <w:spacing w:line="360" w:lineRule="auto"/>
        <w:ind w:left="360" w:hanging="259"/>
      </w:pPr>
      <w:r>
        <w:rPr>
          <w:b/>
        </w:rPr>
        <w:t xml:space="preserve">• </w:t>
      </w:r>
      <w:r>
        <w:t>Which Treasury-market function is insufficiently represented in the debt-corridor design?</w:t>
      </w:r>
    </w:p>
    <w:p>
      <w:pPr>
        <w:pStyle w:val="NoIndent"/>
        <w:spacing w:line="360" w:lineRule="auto"/>
        <w:ind w:left="360" w:hanging="259"/>
      </w:pPr>
      <w:r>
        <w:rPr>
          <w:b/>
        </w:rPr>
        <w:t xml:space="preserve">• </w:t>
      </w:r>
      <w:r>
        <w:t>Which distributional cost is likely to be hidden even after the proposed Truth Gate?</w:t>
      </w:r>
    </w:p>
    <w:p>
      <w:pPr>
        <w:pStyle w:val="NoIndent"/>
        <w:spacing w:line="360" w:lineRule="auto"/>
        <w:ind w:left="360" w:hanging="259"/>
      </w:pPr>
      <w:r>
        <w:rPr>
          <w:b/>
        </w:rPr>
        <w:t xml:space="preserve">• </w:t>
      </w:r>
      <w:r>
        <w:t>Which data revision or model-regime change would make a current Nexus indicator misleading?</w:t>
      </w:r>
    </w:p>
    <w:p>
      <w:pPr>
        <w:pStyle w:val="NoIndent"/>
        <w:spacing w:line="360" w:lineRule="auto"/>
        <w:ind w:left="360" w:hanging="259"/>
      </w:pPr>
      <w:r>
        <w:rPr>
          <w:b/>
        </w:rPr>
        <w:t xml:space="preserve">• </w:t>
      </w:r>
      <w:r>
        <w:t>What evidence would justify terminating the pilot rather than revising it?</w:t>
      </w:r>
    </w:p>
    <w:p>
      <w:pPr>
        <w:pStyle w:val="Heading2"/>
      </w:pPr>
      <w:r>
        <w:rPr>
          <w:i w:val="0"/>
        </w:rPr>
        <w:t>10.3 Publication Principle</w:t>
      </w:r>
    </w:p>
    <w:p>
      <w:r>
        <w:rPr>
          <w:i w:val="0"/>
        </w:rPr>
        <w:t>The project should remain publicly inspectable. GitHub can serve as the version-controlled working home, while major releases may later be archived in a citation-oriented repository. Public availability does not constitute peer review. The value of openness is that critics can inspect earlier versions, compare revisions, reproduce calculations, and see what changed.</w:t>
      </w:r>
    </w:p>
    <w:tbl>
      <w:tblPr>
        <w:tblW w:type="auto" w:w="0"/>
        <w:jc w:val="center"/>
        <w:tblLayout w:type="autofit"/>
        <w:tblLook w:firstColumn="1" w:firstRow="1" w:lastColumn="0" w:lastRow="0" w:noHBand="0" w:noVBand="1" w:val="04A0"/>
      </w:tblPr>
      <w:tblGrid>
        <w:gridCol w:w="9360"/>
      </w:tblGrid>
      <w:tr>
        <w:tc>
          <w:tcPr>
            <w:tcW w:type="dxa" w:w="9360"/>
            <w:vAlign w:val="center"/>
            <w:shd w:fill="F2F4F7"/>
            <w:tcMar>
              <w:top w:w="100" w:type="dxa"/>
              <w:left w:w="100" w:type="dxa"/>
              <w:bottom w:w="100" w:type="dxa"/>
              <w:right w:w="100" w:type="dxa"/>
            </w:tcMar>
          </w:tcPr>
          <w:p>
            <w:pPr>
              <w:pStyle w:val="SourceNote"/>
            </w:pPr>
            <w:r>
              <w:rPr>
                <w:b/>
              </w:rPr>
              <w:t xml:space="preserve">Selected APA sources: </w:t>
            </w:r>
            <w:r>
              <w:t>Croushore and Stark (2001); U.S. Government Accountability Office (2026a); Congressional Budget Office (2026c).</w:t>
            </w:r>
          </w:p>
        </w:tc>
      </w:tr>
      <w:tr>
        <w:tc>
          <w:tcPr>
            <w:tcW w:type="dxa" w:w="9360"/>
            <w:vAlign w:val="center"/>
            <w:shd w:fill="F2F4F7"/>
            <w:tcMar>
              <w:top w:w="100" w:type="dxa"/>
              <w:left w:w="100" w:type="dxa"/>
              <w:bottom w:w="100" w:type="dxa"/>
              <w:right w:w="100" w:type="dxa"/>
            </w:tcMar>
          </w:tcPr>
          <w:p>
            <w:pPr>
              <w:pStyle w:val="SourceNote"/>
            </w:pPr>
            <w:r>
              <w:rPr>
                <w:b/>
              </w:rPr>
              <w:t xml:space="preserve">Why these sources matter: </w:t>
            </w:r>
            <w:r>
              <w:t>These sources support the review agenda's emphasis on reproducibility, data-vintage discipline, sensitivity analysis, and institutional auditability. The agenda is deliberately structured to invite disconfirmation and redundancy findings rather than seek endorsement.</w:t>
            </w:r>
          </w:p>
        </w:tc>
      </w:tr>
    </w:tbl>
    <w:p/>
    <w:p>
      <w:pPr>
        <w:pStyle w:val="Heading1"/>
      </w:pPr>
      <w:r>
        <w:rPr>
          <w:i w:val="0"/>
        </w:rPr>
        <w:t>References</w:t>
      </w:r>
    </w:p>
    <w:p>
      <w:pPr>
        <w:pStyle w:val="NoIndent"/>
        <w:spacing w:line="480" w:lineRule="auto"/>
        <w:ind w:left="720" w:hanging="720"/>
      </w:pPr>
      <w:r>
        <w:t>Board of Governors of the Federal Reserve System. (2025). *Statement on longer-run goals and monetary policy strategy*. https://www.federalreserve.gov/monetarypolicy/monetary-policy-strategy-tools-and-communications-statement-on-longer-run-goals-monetary-policy-strategy-2025.htm</w:t>
      </w:r>
    </w:p>
    <w:p>
      <w:pPr>
        <w:pStyle w:val="NoIndent"/>
        <w:spacing w:line="480" w:lineRule="auto"/>
        <w:ind w:left="720" w:hanging="720"/>
      </w:pPr>
      <w:r>
        <w:t>Board of Trustees of the Federal Old-Age and Survivors Insurance and Federal Disability Insurance Trust Funds. (2026). *The 2026 annual report of the Board of Trustees of the Federal Old-Age and Survivors Insurance and Federal Disability Insurance Trust Funds*. Social Security Administration. https://www.ssa.gov/OACT/TR/2026/</w:t>
      </w:r>
    </w:p>
    <w:p>
      <w:pPr>
        <w:pStyle w:val="NoIndent"/>
        <w:spacing w:line="480" w:lineRule="auto"/>
        <w:ind w:left="720" w:hanging="720"/>
      </w:pPr>
      <w:r>
        <w:t>Boards of Trustees of the Federal Hospital Insurance and Federal Supplementary Medical Insurance Trust Funds. (2026). *2026 annual report of the Boards of Trustees of the Federal Hospital Insurance and Federal Supplementary Medical Insurance Trust Funds*. Centers for Medicare &amp; Medicaid Services. https://www.cms.gov/oact/tr/2026</w:t>
      </w:r>
    </w:p>
    <w:p>
      <w:pPr>
        <w:pStyle w:val="NoIndent"/>
        <w:spacing w:line="480" w:lineRule="auto"/>
        <w:ind w:left="720" w:hanging="720"/>
      </w:pPr>
      <w:r>
        <w:t>Bureau of Economic Analysis. (n.d.). *How are personal consumption expenditures (PCE) prices and quantities derived?* https://www.bea.gov/help/faq/521</w:t>
      </w:r>
    </w:p>
    <w:p>
      <w:pPr>
        <w:pStyle w:val="NoIndent"/>
        <w:spacing w:line="480" w:lineRule="auto"/>
        <w:ind w:left="720" w:hanging="720"/>
      </w:pPr>
      <w:r>
        <w:t>Congressional Budget Office. (2026a, February 11). *The budget and economic outlook: 2026 to 2036*. https://www.cbo.gov/publication/62105</w:t>
      </w:r>
    </w:p>
    <w:p>
      <w:pPr>
        <w:pStyle w:val="NoIndent"/>
        <w:spacing w:line="480" w:lineRule="auto"/>
        <w:ind w:left="720" w:hanging="720"/>
      </w:pPr>
      <w:r>
        <w:t>Congressional Budget Office. (2026b, February 25). *The long-term budget outlook data: 2026 to 2056*. https://www.cbo.gov/publication/62044</w:t>
      </w:r>
    </w:p>
    <w:p>
      <w:pPr>
        <w:pStyle w:val="NoIndent"/>
        <w:spacing w:line="480" w:lineRule="auto"/>
        <w:ind w:left="720" w:hanging="720"/>
      </w:pPr>
      <w:r>
        <w:t>Congressional Budget Office. (2026c, April 21). *How changes in economic conditions might affect the federal budget: 2026 to 2036*. https://www.cbo.gov/publication/62373</w:t>
      </w:r>
    </w:p>
    <w:p>
      <w:pPr>
        <w:pStyle w:val="NoIndent"/>
        <w:spacing w:line="480" w:lineRule="auto"/>
        <w:ind w:left="720" w:hanging="720"/>
      </w:pPr>
      <w:r>
        <w:t>Congressional Budget Office. (2026d, February 23). *CBO's updated projections of the Hospital Insurance Trust Fund's finances*. https://www.cbo.gov/publication/62165</w:t>
      </w:r>
    </w:p>
    <w:p>
      <w:pPr>
        <w:pStyle w:val="NoIndent"/>
        <w:spacing w:line="480" w:lineRule="auto"/>
        <w:ind w:left="720" w:hanging="720"/>
      </w:pPr>
      <w:r>
        <w:t>Congressional Budget Office. (2026e, May 6). *Answers to questions for the record following a hearing on The Budget and Economic Outlook: 2026 to 2036*. https://www.cbo.gov/publication/62414</w:t>
      </w:r>
    </w:p>
    <w:p>
      <w:pPr>
        <w:pStyle w:val="NoIndent"/>
        <w:spacing w:line="480" w:lineRule="auto"/>
        <w:ind w:left="720" w:hanging="720"/>
      </w:pPr>
      <w:r>
        <w:t>Croushore, D., &amp; Stark, T. (2001). A real-time data set for macroeconomists. *Journal of Econometrics, 105*(1), 111-130.</w:t>
      </w:r>
    </w:p>
    <w:p>
      <w:pPr>
        <w:pStyle w:val="NoIndent"/>
        <w:spacing w:line="480" w:lineRule="auto"/>
        <w:ind w:left="720" w:hanging="720"/>
      </w:pPr>
      <w:r>
        <w:t>Federal Reserve Bank of Philadelphia. (n.d.). *Real-Time Data Set for Macroeconomists*. https://www.philadelphiafed.org/surveys-and-data/real-time-data-research/real-time-data-set-for-macroeconomists</w:t>
      </w:r>
    </w:p>
    <w:p>
      <w:pPr>
        <w:pStyle w:val="NoIndent"/>
        <w:spacing w:line="480" w:lineRule="auto"/>
        <w:ind w:left="720" w:hanging="720"/>
      </w:pPr>
      <w:r>
        <w:t>Federal Reserve Bank of San Francisco. (2026). *Supply- and demand-driven PCE inflation*. https://www.frbsf.org/research-and-insights/data-and-indicators/supply-and-demand-driven-pce-inflation/</w:t>
      </w:r>
    </w:p>
    <w:p>
      <w:pPr>
        <w:pStyle w:val="NoIndent"/>
        <w:spacing w:line="480" w:lineRule="auto"/>
        <w:ind w:left="720" w:hanging="720"/>
      </w:pPr>
      <w:r>
        <w:t>Goodhart, C. A. E. (1975). Problems of monetary management: The U.K. experience. In *Papers in monetary economics* (Vol. 1). Reserve Bank of Australia.</w:t>
      </w:r>
    </w:p>
    <w:p>
      <w:pPr>
        <w:pStyle w:val="NoIndent"/>
        <w:spacing w:line="480" w:lineRule="auto"/>
        <w:ind w:left="720" w:hanging="720"/>
      </w:pPr>
      <w:r>
        <w:t>Internal Revenue Service. (n.d.). *The tax gap*. https://www.irs.gov/statistics/irs-the-tax-gap</w:t>
      </w:r>
    </w:p>
    <w:p>
      <w:pPr>
        <w:pStyle w:val="NoIndent"/>
        <w:spacing w:line="480" w:lineRule="auto"/>
        <w:ind w:left="720" w:hanging="720"/>
      </w:pPr>
      <w:r>
        <w:t>International Monetary Fund. (2018). *Fiscal monitor: Managing public wealth*. https://www.imf.org/en/Publications/FM/Issues/2018/10/04/fiscal-monitor-october-2018</w:t>
      </w:r>
    </w:p>
    <w:p>
      <w:pPr>
        <w:pStyle w:val="NoIndent"/>
        <w:spacing w:line="480" w:lineRule="auto"/>
        <w:ind w:left="720" w:hanging="720"/>
      </w:pPr>
      <w:r>
        <w:t>Lucas, R. E., Jr. (1976). Econometric policy evaluation: A critique. *Carnegie-Rochester Conference Series on Public Policy, 1*, 19-46. https://doi.org/10.1016/S0167-2231(76)80003-6</w:t>
      </w:r>
    </w:p>
    <w:p>
      <w:pPr>
        <w:pStyle w:val="NoIndent"/>
        <w:spacing w:line="480" w:lineRule="auto"/>
        <w:ind w:left="720" w:hanging="720"/>
      </w:pPr>
      <w:r>
        <w:t>TreasuryDirect. (n.d.). *Treasury Inflation-Protected Securities (TIPS)*. U.S. Department of the Treasury. https://www.treasurydirect.gov/marketable-securities/tips/</w:t>
      </w:r>
    </w:p>
    <w:p>
      <w:pPr>
        <w:pStyle w:val="NoIndent"/>
        <w:spacing w:line="480" w:lineRule="auto"/>
        <w:ind w:left="720" w:hanging="720"/>
      </w:pPr>
      <w:r>
        <w:t>U.S. Department of the Treasury, Bureau of the Fiscal Service. (2026a). *Executive summary to the FY 2025 Financial Report of the United States Government: An unsustainable fiscal path*. https://fiscal.treasury.gov/accounting/us-financial-report/unsustainable-fiscal-path</w:t>
      </w:r>
    </w:p>
    <w:p>
      <w:pPr>
        <w:pStyle w:val="NoIndent"/>
        <w:spacing w:line="480" w:lineRule="auto"/>
        <w:ind w:left="720" w:hanging="720"/>
      </w:pPr>
      <w:r>
        <w:t>U.S. Department of the Treasury, Bureau of the Fiscal Service. (2026b). *Financial Report of the United States Government: Fiscal year 2025*. https://fiscal.treasury.gov/accounting/us-financial-report/2025-report</w:t>
      </w:r>
    </w:p>
    <w:p>
      <w:pPr>
        <w:pStyle w:val="NoIndent"/>
        <w:spacing w:line="480" w:lineRule="auto"/>
        <w:ind w:left="720" w:hanging="720"/>
      </w:pPr>
      <w:r>
        <w:t>U.S. Department of the Treasury. (2024, May 20). *Remarks by Assistant Secretary for Financial Markets Joshua Frost on principles of U.S. debt management policy*. https://home.treasury.gov/news/press-releases/jy2460</w:t>
      </w:r>
    </w:p>
    <w:p>
      <w:pPr>
        <w:pStyle w:val="NoIndent"/>
        <w:spacing w:line="480" w:lineRule="auto"/>
        <w:ind w:left="720" w:hanging="720"/>
      </w:pPr>
      <w:r>
        <w:t>U.S. Department of the Treasury. (2026c). *Financing the government*. https://home.treasury.gov/policy-issues/financing-the-government</w:t>
      </w:r>
    </w:p>
    <w:p>
      <w:pPr>
        <w:pStyle w:val="NoIndent"/>
        <w:spacing w:line="480" w:lineRule="auto"/>
        <w:ind w:left="720" w:hanging="720"/>
      </w:pPr>
      <w:r>
        <w:t>U.S. Government Accountability Office. (2026a, March 19). *Financial audit: FY 2025 and FY 2024 consolidated financial statements of the U.S. government* (GAO-26-108073). https://www.gao.gov/products/gao-26-108073</w:t>
      </w:r>
    </w:p>
    <w:p>
      <w:pPr>
        <w:pStyle w:val="NoIndent"/>
        <w:spacing w:line="480" w:lineRule="auto"/>
        <w:ind w:left="720" w:hanging="720"/>
      </w:pPr>
      <w:r>
        <w:t>U.S. Government Accountability Office. (2026b, April 27). *Payment integrity: Agencies' estimated improper payments increased to $186 billion in fiscal year 2025* (GAO-26-108694). https://www.gao.gov/products/gao-26-108694</w:t>
      </w:r>
    </w:p>
    <w:p>
      <w:pPr>
        <w:pStyle w:val="NoIndent"/>
        <w:spacing w:line="480" w:lineRule="auto"/>
        <w:ind w:left="720" w:hanging="720"/>
      </w:pPr>
      <w:r>
        <w:t>U.S. Government Accountability Office. (2026c, May 12). *Open GAO recommendations: Financial benefits could be between $132 billion and $251 billion* (GAO-26-108932). https://www.gao.gov/products/gao-26-108932</w:t>
      </w:r>
    </w:p>
    <w:p>
      <w:pPr>
        <w:pStyle w:val="Heading1"/>
      </w:pPr>
      <w:r>
        <w:rPr>
          <w:i w:val="0"/>
        </w:rPr>
        <w:t>Appendix A. Glossary and Acronyms</w:t>
      </w:r>
    </w:p>
    <w:tbl>
      <w:tblPr>
        <w:tblStyle w:val="TableGrid"/>
        <w:tblW w:type="auto" w:w="0"/>
        <w:jc w:val="center"/>
        <w:tblLook w:firstColumn="1" w:firstRow="1" w:lastColumn="0" w:lastRow="0" w:noHBand="0" w:noVBand="1" w:val="04A0"/>
      </w:tblPr>
      <w:tblGrid>
        <w:gridCol w:w="4680"/>
        <w:gridCol w:w="4680"/>
      </w:tblGrid>
      <w:tr>
        <w:tc>
          <w:tcPr>
            <w:tcW w:type="dxa" w:w="2160"/>
            <w:shd w:fill="E8EDF3"/>
          </w:tcPr>
          <w:p>
            <w:r>
              <w:rPr>
                <w:rFonts w:ascii="Times New Roman" w:hAnsi="Times New Roman"/>
                <w:b/>
                <w:sz w:val="18"/>
              </w:rPr>
              <w:t>Term</w:t>
            </w:r>
          </w:p>
        </w:tc>
        <w:tc>
          <w:tcPr>
            <w:tcW w:type="dxa" w:w="7200"/>
            <w:shd w:fill="E8EDF3"/>
          </w:tcPr>
          <w:p>
            <w:r>
              <w:rPr>
                <w:rFonts w:ascii="Times New Roman" w:hAnsi="Times New Roman"/>
                <w:b/>
                <w:sz w:val="18"/>
              </w:rPr>
              <w:t>Definition</w:t>
            </w:r>
          </w:p>
        </w:tc>
      </w:tr>
      <w:tr>
        <w:tc>
          <w:tcPr>
            <w:tcW w:type="dxa" w:w="2160"/>
          </w:tcPr>
          <w:p>
            <w:pPr>
              <w:spacing w:line="240" w:lineRule="auto" w:after="0"/>
            </w:pPr>
            <w:r>
              <w:rPr>
                <w:rFonts w:ascii="Times New Roman" w:hAnsi="Times New Roman"/>
                <w:sz w:val="18"/>
              </w:rPr>
              <w:t>BEA</w:t>
            </w:r>
          </w:p>
        </w:tc>
        <w:tc>
          <w:tcPr>
            <w:tcW w:type="dxa" w:w="7200"/>
          </w:tcPr>
          <w:p>
            <w:pPr>
              <w:spacing w:line="240" w:lineRule="auto" w:after="0"/>
            </w:pPr>
            <w:r>
              <w:rPr>
                <w:rFonts w:ascii="Times New Roman" w:hAnsi="Times New Roman"/>
                <w:sz w:val="18"/>
              </w:rPr>
              <w:t>Bureau of Economic Analysis.</w:t>
            </w:r>
          </w:p>
        </w:tc>
      </w:tr>
      <w:tr>
        <w:tc>
          <w:tcPr>
            <w:tcW w:type="dxa" w:w="2160"/>
          </w:tcPr>
          <w:p>
            <w:pPr>
              <w:spacing w:line="240" w:lineRule="auto" w:after="0"/>
            </w:pPr>
            <w:r>
              <w:rPr>
                <w:rFonts w:ascii="Times New Roman" w:hAnsi="Times New Roman"/>
                <w:sz w:val="18"/>
              </w:rPr>
              <w:t>BLS</w:t>
            </w:r>
          </w:p>
        </w:tc>
        <w:tc>
          <w:tcPr>
            <w:tcW w:type="dxa" w:w="7200"/>
          </w:tcPr>
          <w:p>
            <w:pPr>
              <w:spacing w:line="240" w:lineRule="auto" w:after="0"/>
            </w:pPr>
            <w:r>
              <w:rPr>
                <w:rFonts w:ascii="Times New Roman" w:hAnsi="Times New Roman"/>
                <w:sz w:val="18"/>
              </w:rPr>
              <w:t>Bureau of Labor Statistics.</w:t>
            </w:r>
          </w:p>
        </w:tc>
      </w:tr>
      <w:tr>
        <w:tc>
          <w:tcPr>
            <w:tcW w:type="dxa" w:w="2160"/>
          </w:tcPr>
          <w:p>
            <w:pPr>
              <w:spacing w:line="240" w:lineRule="auto" w:after="0"/>
            </w:pPr>
            <w:r>
              <w:rPr>
                <w:rFonts w:ascii="Times New Roman" w:hAnsi="Times New Roman"/>
                <w:sz w:val="18"/>
              </w:rPr>
              <w:t>CBO</w:t>
            </w:r>
          </w:p>
        </w:tc>
        <w:tc>
          <w:tcPr>
            <w:tcW w:type="dxa" w:w="7200"/>
          </w:tcPr>
          <w:p>
            <w:pPr>
              <w:spacing w:line="240" w:lineRule="auto" w:after="0"/>
            </w:pPr>
            <w:r>
              <w:rPr>
                <w:rFonts w:ascii="Times New Roman" w:hAnsi="Times New Roman"/>
                <w:sz w:val="18"/>
              </w:rPr>
              <w:t>Congressional Budget Office.</w:t>
            </w:r>
          </w:p>
        </w:tc>
      </w:tr>
      <w:tr>
        <w:tc>
          <w:tcPr>
            <w:tcW w:type="dxa" w:w="2160"/>
          </w:tcPr>
          <w:p>
            <w:pPr>
              <w:spacing w:line="240" w:lineRule="auto" w:after="0"/>
            </w:pPr>
            <w:r>
              <w:rPr>
                <w:rFonts w:ascii="Times New Roman" w:hAnsi="Times New Roman"/>
                <w:sz w:val="18"/>
              </w:rPr>
              <w:t>FSCL</w:t>
            </w:r>
          </w:p>
        </w:tc>
        <w:tc>
          <w:tcPr>
            <w:tcW w:type="dxa" w:w="7200"/>
          </w:tcPr>
          <w:p>
            <w:pPr>
              <w:spacing w:line="240" w:lineRule="auto" w:after="0"/>
            </w:pPr>
            <w:r>
              <w:rPr>
                <w:rFonts w:ascii="Times New Roman" w:hAnsi="Times New Roman"/>
                <w:sz w:val="18"/>
              </w:rPr>
              <w:t>Field-State Comparative Lens; a separate patent-pending project that conceptually influenced the local-versus-field comparison in Nexus.</w:t>
            </w:r>
          </w:p>
        </w:tc>
      </w:tr>
      <w:tr>
        <w:tc>
          <w:tcPr>
            <w:tcW w:type="dxa" w:w="2160"/>
          </w:tcPr>
          <w:p>
            <w:pPr>
              <w:spacing w:line="240" w:lineRule="auto" w:after="0"/>
            </w:pPr>
            <w:r>
              <w:rPr>
                <w:rFonts w:ascii="Times New Roman" w:hAnsi="Times New Roman"/>
                <w:sz w:val="18"/>
              </w:rPr>
              <w:t>GAO</w:t>
            </w:r>
          </w:p>
        </w:tc>
        <w:tc>
          <w:tcPr>
            <w:tcW w:type="dxa" w:w="7200"/>
          </w:tcPr>
          <w:p>
            <w:pPr>
              <w:spacing w:line="240" w:lineRule="auto" w:after="0"/>
            </w:pPr>
            <w:r>
              <w:rPr>
                <w:rFonts w:ascii="Times New Roman" w:hAnsi="Times New Roman"/>
                <w:sz w:val="18"/>
              </w:rPr>
              <w:t>Government Accountability Office.</w:t>
            </w:r>
          </w:p>
        </w:tc>
      </w:tr>
      <w:tr>
        <w:tc>
          <w:tcPr>
            <w:tcW w:type="dxa" w:w="2160"/>
          </w:tcPr>
          <w:p>
            <w:pPr>
              <w:spacing w:line="240" w:lineRule="auto" w:after="0"/>
            </w:pPr>
            <w:r>
              <w:rPr>
                <w:rFonts w:ascii="Times New Roman" w:hAnsi="Times New Roman"/>
                <w:sz w:val="18"/>
              </w:rPr>
              <w:t>GDP</w:t>
            </w:r>
          </w:p>
        </w:tc>
        <w:tc>
          <w:tcPr>
            <w:tcW w:type="dxa" w:w="7200"/>
          </w:tcPr>
          <w:p>
            <w:pPr>
              <w:spacing w:line="240" w:lineRule="auto" w:after="0"/>
            </w:pPr>
            <w:r>
              <w:rPr>
                <w:rFonts w:ascii="Times New Roman" w:hAnsi="Times New Roman"/>
                <w:sz w:val="18"/>
              </w:rPr>
              <w:t>Gross Domestic Product.</w:t>
            </w:r>
          </w:p>
        </w:tc>
      </w:tr>
      <w:tr>
        <w:tc>
          <w:tcPr>
            <w:tcW w:type="dxa" w:w="2160"/>
          </w:tcPr>
          <w:p>
            <w:pPr>
              <w:spacing w:line="240" w:lineRule="auto" w:after="0"/>
            </w:pPr>
            <w:r>
              <w:rPr>
                <w:rFonts w:ascii="Times New Roman" w:hAnsi="Times New Roman"/>
                <w:sz w:val="18"/>
              </w:rPr>
              <w:t>HI</w:t>
            </w:r>
          </w:p>
        </w:tc>
        <w:tc>
          <w:tcPr>
            <w:tcW w:type="dxa" w:w="7200"/>
          </w:tcPr>
          <w:p>
            <w:pPr>
              <w:spacing w:line="240" w:lineRule="auto" w:after="0"/>
            </w:pPr>
            <w:r>
              <w:rPr>
                <w:rFonts w:ascii="Times New Roman" w:hAnsi="Times New Roman"/>
                <w:sz w:val="18"/>
              </w:rPr>
              <w:t>Hospital Insurance Trust Fund for Medicare Part A.</w:t>
            </w:r>
          </w:p>
        </w:tc>
      </w:tr>
      <w:tr>
        <w:tc>
          <w:tcPr>
            <w:tcW w:type="dxa" w:w="2160"/>
          </w:tcPr>
          <w:p>
            <w:pPr>
              <w:spacing w:line="240" w:lineRule="auto" w:after="0"/>
            </w:pPr>
            <w:r>
              <w:rPr>
                <w:rFonts w:ascii="Times New Roman" w:hAnsi="Times New Roman"/>
                <w:sz w:val="18"/>
              </w:rPr>
              <w:t>NIDD</w:t>
            </w:r>
          </w:p>
        </w:tc>
        <w:tc>
          <w:tcPr>
            <w:tcW w:type="dxa" w:w="7200"/>
          </w:tcPr>
          <w:p>
            <w:pPr>
              <w:spacing w:line="240" w:lineRule="auto" w:after="0"/>
            </w:pPr>
            <w:r>
              <w:rPr>
                <w:rFonts w:ascii="Times New Roman" w:hAnsi="Times New Roman"/>
                <w:sz w:val="18"/>
              </w:rPr>
              <w:t>Nexus Inflation Diagnostics Dashboard.</w:t>
            </w:r>
          </w:p>
        </w:tc>
      </w:tr>
      <w:tr>
        <w:tc>
          <w:tcPr>
            <w:tcW w:type="dxa" w:w="2160"/>
          </w:tcPr>
          <w:p>
            <w:pPr>
              <w:spacing w:line="240" w:lineRule="auto" w:after="0"/>
            </w:pPr>
            <w:r>
              <w:rPr>
                <w:rFonts w:ascii="Times New Roman" w:hAnsi="Times New Roman"/>
                <w:sz w:val="18"/>
              </w:rPr>
              <w:t>OASI</w:t>
            </w:r>
          </w:p>
        </w:tc>
        <w:tc>
          <w:tcPr>
            <w:tcW w:type="dxa" w:w="7200"/>
          </w:tcPr>
          <w:p>
            <w:pPr>
              <w:spacing w:line="240" w:lineRule="auto" w:after="0"/>
            </w:pPr>
            <w:r>
              <w:rPr>
                <w:rFonts w:ascii="Times New Roman" w:hAnsi="Times New Roman"/>
                <w:sz w:val="18"/>
              </w:rPr>
              <w:t>Old-Age and Survivors Insurance Trust Fund.</w:t>
            </w:r>
          </w:p>
        </w:tc>
      </w:tr>
      <w:tr>
        <w:tc>
          <w:tcPr>
            <w:tcW w:type="dxa" w:w="2160"/>
          </w:tcPr>
          <w:p>
            <w:pPr>
              <w:spacing w:line="240" w:lineRule="auto" w:after="0"/>
            </w:pPr>
            <w:r>
              <w:rPr>
                <w:rFonts w:ascii="Times New Roman" w:hAnsi="Times New Roman"/>
                <w:sz w:val="18"/>
              </w:rPr>
              <w:t>OASDI</w:t>
            </w:r>
          </w:p>
        </w:tc>
        <w:tc>
          <w:tcPr>
            <w:tcW w:type="dxa" w:w="7200"/>
          </w:tcPr>
          <w:p>
            <w:pPr>
              <w:spacing w:line="240" w:lineRule="auto" w:after="0"/>
            </w:pPr>
            <w:r>
              <w:rPr>
                <w:rFonts w:ascii="Times New Roman" w:hAnsi="Times New Roman"/>
                <w:sz w:val="18"/>
              </w:rPr>
              <w:t>Old-Age, Survivors, and Disability Insurance, commonly shown on a combined basis for analysis even though OASI and DI are legally separate trust funds.</w:t>
            </w:r>
          </w:p>
        </w:tc>
      </w:tr>
      <w:tr>
        <w:tc>
          <w:tcPr>
            <w:tcW w:type="dxa" w:w="2160"/>
          </w:tcPr>
          <w:p>
            <w:pPr>
              <w:spacing w:line="240" w:lineRule="auto" w:after="0"/>
            </w:pPr>
            <w:r>
              <w:rPr>
                <w:rFonts w:ascii="Times New Roman" w:hAnsi="Times New Roman"/>
                <w:sz w:val="18"/>
              </w:rPr>
              <w:t>PCE</w:t>
            </w:r>
          </w:p>
        </w:tc>
        <w:tc>
          <w:tcPr>
            <w:tcW w:type="dxa" w:w="7200"/>
          </w:tcPr>
          <w:p>
            <w:pPr>
              <w:spacing w:line="240" w:lineRule="auto" w:after="0"/>
            </w:pPr>
            <w:r>
              <w:rPr>
                <w:rFonts w:ascii="Times New Roman" w:hAnsi="Times New Roman"/>
                <w:sz w:val="18"/>
              </w:rPr>
              <w:t>Personal Consumption Expenditures.</w:t>
            </w:r>
          </w:p>
        </w:tc>
      </w:tr>
      <w:tr>
        <w:tc>
          <w:tcPr>
            <w:tcW w:type="dxa" w:w="2160"/>
          </w:tcPr>
          <w:p>
            <w:pPr>
              <w:spacing w:line="240" w:lineRule="auto" w:after="0"/>
            </w:pPr>
            <w:r>
              <w:rPr>
                <w:rFonts w:ascii="Times New Roman" w:hAnsi="Times New Roman"/>
                <w:sz w:val="18"/>
              </w:rPr>
              <w:t>RVU-H</w:t>
            </w:r>
          </w:p>
        </w:tc>
        <w:tc>
          <w:tcPr>
            <w:tcW w:type="dxa" w:w="7200"/>
          </w:tcPr>
          <w:p>
            <w:pPr>
              <w:spacing w:line="240" w:lineRule="auto" w:after="0"/>
            </w:pPr>
            <w:r>
              <w:rPr>
                <w:rFonts w:ascii="Times New Roman" w:hAnsi="Times New Roman"/>
                <w:sz w:val="18"/>
              </w:rPr>
              <w:t>Real Value Unit-Household; proposed purchasing-power reporting translation, not a currency.</w:t>
            </w:r>
          </w:p>
        </w:tc>
      </w:tr>
      <w:tr>
        <w:tc>
          <w:tcPr>
            <w:tcW w:type="dxa" w:w="2160"/>
          </w:tcPr>
          <w:p>
            <w:pPr>
              <w:spacing w:line="240" w:lineRule="auto" w:after="0"/>
            </w:pPr>
            <w:r>
              <w:rPr>
                <w:rFonts w:ascii="Times New Roman" w:hAnsi="Times New Roman"/>
                <w:sz w:val="18"/>
              </w:rPr>
              <w:t>TIPS</w:t>
            </w:r>
          </w:p>
        </w:tc>
        <w:tc>
          <w:tcPr>
            <w:tcW w:type="dxa" w:w="7200"/>
          </w:tcPr>
          <w:p>
            <w:pPr>
              <w:spacing w:line="240" w:lineRule="auto" w:after="0"/>
            </w:pPr>
            <w:r>
              <w:rPr>
                <w:rFonts w:ascii="Times New Roman" w:hAnsi="Times New Roman"/>
                <w:sz w:val="18"/>
              </w:rPr>
              <w:t>Treasury Inflation-Protected Securities.</w:t>
            </w:r>
          </w:p>
        </w:tc>
      </w:tr>
      <w:tr>
        <w:tc>
          <w:tcPr>
            <w:tcW w:type="dxa" w:w="2160"/>
          </w:tcPr>
          <w:p>
            <w:pPr>
              <w:spacing w:line="240" w:lineRule="auto" w:after="0"/>
            </w:pPr>
            <w:r>
              <w:rPr>
                <w:rFonts w:ascii="Times New Roman" w:hAnsi="Times New Roman"/>
                <w:sz w:val="18"/>
              </w:rPr>
              <w:t>Waypoint</w:t>
            </w:r>
          </w:p>
        </w:tc>
        <w:tc>
          <w:tcPr>
            <w:tcW w:type="dxa" w:w="7200"/>
          </w:tcPr>
          <w:p>
            <w:pPr>
              <w:spacing w:line="240" w:lineRule="auto" w:after="0"/>
            </w:pPr>
            <w:r>
              <w:rPr>
                <w:rFonts w:ascii="Times New Roman" w:hAnsi="Times New Roman"/>
                <w:sz w:val="18"/>
              </w:rPr>
              <w:t>A current, testable operational condition toward which the system may move without assuming it is a permanent final target.</w:t>
            </w:r>
          </w:p>
        </w:tc>
      </w:tr>
      <w:tr>
        <w:tc>
          <w:tcPr>
            <w:tcW w:type="dxa" w:w="2160"/>
          </w:tcPr>
          <w:p>
            <w:pPr>
              <w:spacing w:line="240" w:lineRule="auto" w:after="0"/>
            </w:pPr>
            <w:r>
              <w:rPr>
                <w:rFonts w:ascii="Times New Roman" w:hAnsi="Times New Roman"/>
                <w:sz w:val="18"/>
              </w:rPr>
              <w:t>Field-state perspective</w:t>
            </w:r>
          </w:p>
        </w:tc>
        <w:tc>
          <w:tcPr>
            <w:tcW w:type="dxa" w:w="7200"/>
          </w:tcPr>
          <w:p>
            <w:pPr>
              <w:spacing w:line="240" w:lineRule="auto" w:after="0"/>
            </w:pPr>
            <w:r>
              <w:rPr>
                <w:rFonts w:ascii="Times New Roman" w:hAnsi="Times New Roman"/>
                <w:sz w:val="18"/>
              </w:rPr>
              <w:t>A broader comparative examination of what is changing across the surrounding system while a local waypoint is pursued.</w:t>
            </w:r>
          </w:p>
        </w:tc>
      </w:tr>
      <w:tr>
        <w:tc>
          <w:tcPr>
            <w:tcW w:type="dxa" w:w="2160"/>
          </w:tcPr>
          <w:p>
            <w:pPr>
              <w:spacing w:line="240" w:lineRule="auto" w:after="0"/>
            </w:pPr>
            <w:r>
              <w:rPr>
                <w:rFonts w:ascii="Times New Roman" w:hAnsi="Times New Roman"/>
                <w:sz w:val="18"/>
              </w:rPr>
              <w:t>Correction memory</w:t>
            </w:r>
          </w:p>
        </w:tc>
        <w:tc>
          <w:tcPr>
            <w:tcW w:type="dxa" w:w="7200"/>
          </w:tcPr>
          <w:p>
            <w:pPr>
              <w:spacing w:line="240" w:lineRule="auto" w:after="0"/>
            </w:pPr>
            <w:r>
              <w:rPr>
                <w:rFonts w:ascii="Times New Roman" w:hAnsi="Times New Roman"/>
                <w:sz w:val="18"/>
              </w:rPr>
              <w:t>The preserved record of a departure, the assumptions known at the time, the proposed correction, later revisions, and the outcome.</w:t>
            </w:r>
          </w:p>
        </w:tc>
      </w:tr>
    </w:tbl>
    <w:p/>
    <w:p>
      <w:pPr>
        <w:pStyle w:val="Heading1"/>
      </w:pPr>
      <w:r>
        <w:rPr>
          <w:i w:val="0"/>
        </w:rPr>
        <w:t>Appendix B. Stakeholder Incentive Matrix</w:t>
      </w:r>
    </w:p>
    <w:p>
      <w:r>
        <w:rPr>
          <w:i w:val="0"/>
        </w:rPr>
        <w:t>This matrix is a starting hypothesis for Gate 3, not an empirical conclusion. External review should challenge every row.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shd w:fill="E8EDF3"/>
          </w:tcPr>
          <w:p>
            <w:r>
              <w:rPr>
                <w:rFonts w:ascii="Times New Roman" w:hAnsi="Times New Roman"/>
                <w:b/>
                <w:sz w:val="15"/>
              </w:rPr>
              <w:t>Stakeholder</w:t>
            </w:r>
          </w:p>
        </w:tc>
        <w:tc>
          <w:tcPr>
            <w:tcW w:type="dxa" w:w="2592"/>
            <w:shd w:fill="E8EDF3"/>
          </w:tcPr>
          <w:p>
            <w:r>
              <w:rPr>
                <w:rFonts w:ascii="Times New Roman" w:hAnsi="Times New Roman"/>
                <w:b/>
                <w:sz w:val="15"/>
              </w:rPr>
              <w:t>Legitimate interest</w:t>
            </w:r>
          </w:p>
        </w:tc>
        <w:tc>
          <w:tcPr>
            <w:tcW w:type="dxa" w:w="2592"/>
            <w:shd w:fill="E8EDF3"/>
          </w:tcPr>
          <w:p>
            <w:r>
              <w:rPr>
                <w:rFonts w:ascii="Times New Roman" w:hAnsi="Times New Roman"/>
                <w:b/>
                <w:sz w:val="15"/>
              </w:rPr>
              <w:t>Potential loss/incentive to resist</w:t>
            </w:r>
          </w:p>
        </w:tc>
        <w:tc>
          <w:tcPr>
            <w:tcW w:type="dxa" w:w="3168"/>
            <w:shd w:fill="E8EDF3"/>
          </w:tcPr>
          <w:p>
            <w:r>
              <w:rPr>
                <w:rFonts w:ascii="Times New Roman" w:hAnsi="Times New Roman"/>
                <w:b/>
                <w:sz w:val="15"/>
              </w:rPr>
              <w:t>Nexus design response</w:t>
            </w:r>
          </w:p>
        </w:tc>
      </w:tr>
      <w:tr>
        <w:tc>
          <w:tcPr>
            <w:tcW w:type="dxa" w:w="1800"/>
          </w:tcPr>
          <w:p>
            <w:pPr>
              <w:spacing w:line="240" w:lineRule="auto" w:after="0"/>
            </w:pPr>
            <w:r>
              <w:rPr>
                <w:rFonts w:ascii="Times New Roman" w:hAnsi="Times New Roman"/>
                <w:sz w:val="15"/>
              </w:rPr>
              <w:t>Low-income households</w:t>
            </w:r>
          </w:p>
        </w:tc>
        <w:tc>
          <w:tcPr>
            <w:tcW w:type="dxa" w:w="2592"/>
          </w:tcPr>
          <w:p>
            <w:pPr>
              <w:spacing w:line="240" w:lineRule="auto" w:after="0"/>
            </w:pPr>
            <w:r>
              <w:rPr>
                <w:rFonts w:ascii="Times New Roman" w:hAnsi="Times New Roman"/>
                <w:sz w:val="15"/>
              </w:rPr>
              <w:t>Purchasing power, employment, essential services, protection from abrupt crisis-driven cuts</w:t>
            </w:r>
          </w:p>
        </w:tc>
        <w:tc>
          <w:tcPr>
            <w:tcW w:type="dxa" w:w="2592"/>
          </w:tcPr>
          <w:p>
            <w:pPr>
              <w:spacing w:line="240" w:lineRule="auto" w:after="0"/>
            </w:pPr>
            <w:r>
              <w:rPr>
                <w:rFonts w:ascii="Times New Roman" w:hAnsi="Times New Roman"/>
                <w:sz w:val="15"/>
              </w:rPr>
              <w:t>Inflation, benefit loss, regressive cost shifts</w:t>
            </w:r>
          </w:p>
        </w:tc>
        <w:tc>
          <w:tcPr>
            <w:tcW w:type="dxa" w:w="3168"/>
          </w:tcPr>
          <w:p>
            <w:pPr>
              <w:spacing w:line="240" w:lineRule="auto" w:after="0"/>
            </w:pPr>
            <w:r>
              <w:rPr>
                <w:rFonts w:ascii="Times New Roman" w:hAnsi="Times New Roman"/>
                <w:sz w:val="15"/>
              </w:rPr>
              <w:t>Visible incidence analysis; no automatic benefit cuts; emergency flexibility</w:t>
            </w:r>
          </w:p>
        </w:tc>
      </w:tr>
      <w:tr>
        <w:tc>
          <w:tcPr>
            <w:tcW w:type="dxa" w:w="1800"/>
          </w:tcPr>
          <w:p>
            <w:pPr>
              <w:spacing w:line="240" w:lineRule="auto" w:after="0"/>
            </w:pPr>
            <w:r>
              <w:rPr>
                <w:rFonts w:ascii="Times New Roman" w:hAnsi="Times New Roman"/>
                <w:sz w:val="15"/>
              </w:rPr>
              <w:t>Working and middle-income households</w:t>
            </w:r>
          </w:p>
        </w:tc>
        <w:tc>
          <w:tcPr>
            <w:tcW w:type="dxa" w:w="2592"/>
          </w:tcPr>
          <w:p>
            <w:pPr>
              <w:spacing w:line="240" w:lineRule="auto" w:after="0"/>
            </w:pPr>
            <w:r>
              <w:rPr>
                <w:rFonts w:ascii="Times New Roman" w:hAnsi="Times New Roman"/>
                <w:sz w:val="15"/>
              </w:rPr>
              <w:t>Predictable taxes, wages, credit costs, housing, retirement, education</w:t>
            </w:r>
          </w:p>
        </w:tc>
        <w:tc>
          <w:tcPr>
            <w:tcW w:type="dxa" w:w="2592"/>
          </w:tcPr>
          <w:p>
            <w:pPr>
              <w:spacing w:line="240" w:lineRule="auto" w:after="0"/>
            </w:pPr>
            <w:r>
              <w:rPr>
                <w:rFonts w:ascii="Times New Roman" w:hAnsi="Times New Roman"/>
                <w:sz w:val="15"/>
              </w:rPr>
              <w:t>Fiscal whiplash; hidden cost transfers; unstable borrowing costs</w:t>
            </w:r>
          </w:p>
        </w:tc>
        <w:tc>
          <w:tcPr>
            <w:tcW w:type="dxa" w:w="3168"/>
          </w:tcPr>
          <w:p>
            <w:pPr>
              <w:spacing w:line="240" w:lineRule="auto" w:after="0"/>
            </w:pPr>
            <w:r>
              <w:rPr>
                <w:rFonts w:ascii="Times New Roman" w:hAnsi="Times New Roman"/>
                <w:sz w:val="15"/>
              </w:rPr>
              <w:t>Purchasing-power reporting; preserved baselines; gradual visible correction paths</w:t>
            </w:r>
          </w:p>
        </w:tc>
      </w:tr>
      <w:tr>
        <w:tc>
          <w:tcPr>
            <w:tcW w:type="dxa" w:w="1800"/>
          </w:tcPr>
          <w:p>
            <w:pPr>
              <w:spacing w:line="240" w:lineRule="auto" w:after="0"/>
            </w:pPr>
            <w:r>
              <w:rPr>
                <w:rFonts w:ascii="Times New Roman" w:hAnsi="Times New Roman"/>
                <w:sz w:val="15"/>
              </w:rPr>
              <w:t>Affluent and high-net-worth households</w:t>
            </w:r>
          </w:p>
        </w:tc>
        <w:tc>
          <w:tcPr>
            <w:tcW w:type="dxa" w:w="2592"/>
          </w:tcPr>
          <w:p>
            <w:pPr>
              <w:spacing w:line="240" w:lineRule="auto" w:after="0"/>
            </w:pPr>
            <w:r>
              <w:rPr>
                <w:rFonts w:ascii="Times New Roman" w:hAnsi="Times New Roman"/>
                <w:sz w:val="15"/>
              </w:rPr>
              <w:t>Contract stability, market liquidity, predictable taxation, preserved real value</w:t>
            </w:r>
          </w:p>
        </w:tc>
        <w:tc>
          <w:tcPr>
            <w:tcW w:type="dxa" w:w="2592"/>
          </w:tcPr>
          <w:p>
            <w:pPr>
              <w:spacing w:line="240" w:lineRule="auto" w:after="0"/>
            </w:pPr>
            <w:r>
              <w:rPr>
                <w:rFonts w:ascii="Times New Roman" w:hAnsi="Times New Roman"/>
                <w:sz w:val="15"/>
              </w:rPr>
              <w:t>Abrupt taxation, sovereign-credit deterioration, disorderly inflation</w:t>
            </w:r>
          </w:p>
        </w:tc>
        <w:tc>
          <w:tcPr>
            <w:tcW w:type="dxa" w:w="3168"/>
          </w:tcPr>
          <w:p>
            <w:pPr>
              <w:spacing w:line="240" w:lineRule="auto" w:after="0"/>
            </w:pPr>
            <w:r>
              <w:rPr>
                <w:rFonts w:ascii="Times New Roman" w:hAnsi="Times New Roman"/>
                <w:sz w:val="15"/>
              </w:rPr>
              <w:t>Transparent policy paths; Treasury-market safeguards; explicit democratic choices</w:t>
            </w:r>
          </w:p>
        </w:tc>
      </w:tr>
      <w:tr>
        <w:tc>
          <w:tcPr>
            <w:tcW w:type="dxa" w:w="1800"/>
          </w:tcPr>
          <w:p>
            <w:pPr>
              <w:spacing w:line="240" w:lineRule="auto" w:after="0"/>
            </w:pPr>
            <w:r>
              <w:rPr>
                <w:rFonts w:ascii="Times New Roman" w:hAnsi="Times New Roman"/>
                <w:sz w:val="15"/>
              </w:rPr>
              <w:t>Very wealthy households and large asset owners</w:t>
            </w:r>
          </w:p>
        </w:tc>
        <w:tc>
          <w:tcPr>
            <w:tcW w:type="dxa" w:w="2592"/>
          </w:tcPr>
          <w:p>
            <w:pPr>
              <w:spacing w:line="240" w:lineRule="auto" w:after="0"/>
            </w:pPr>
            <w:r>
              <w:rPr>
                <w:rFonts w:ascii="Times New Roman" w:hAnsi="Times New Roman"/>
                <w:sz w:val="15"/>
              </w:rPr>
              <w:t>Institutional continuity, enforceable contracts, liquid capital markets, social stability</w:t>
            </w:r>
          </w:p>
        </w:tc>
        <w:tc>
          <w:tcPr>
            <w:tcW w:type="dxa" w:w="2592"/>
          </w:tcPr>
          <w:p>
            <w:pPr>
              <w:spacing w:line="240" w:lineRule="auto" w:after="0"/>
            </w:pPr>
            <w:r>
              <w:rPr>
                <w:rFonts w:ascii="Times New Roman" w:hAnsi="Times New Roman"/>
                <w:sz w:val="15"/>
              </w:rPr>
              <w:t>Systemic instability, confiscatory crisis responses, loss of legitimacy</w:t>
            </w:r>
          </w:p>
        </w:tc>
        <w:tc>
          <w:tcPr>
            <w:tcW w:type="dxa" w:w="3168"/>
          </w:tcPr>
          <w:p>
            <w:pPr>
              <w:spacing w:line="240" w:lineRule="auto" w:after="0"/>
            </w:pPr>
            <w:r>
              <w:rPr>
                <w:rFonts w:ascii="Times New Roman" w:hAnsi="Times New Roman"/>
                <w:sz w:val="15"/>
              </w:rPr>
              <w:t>Integrity and predictability; stakeholder durability testing; no hidden expropriation</w:t>
            </w:r>
          </w:p>
        </w:tc>
      </w:tr>
      <w:tr>
        <w:tc>
          <w:tcPr>
            <w:tcW w:type="dxa" w:w="1800"/>
          </w:tcPr>
          <w:p>
            <w:pPr>
              <w:spacing w:line="240" w:lineRule="auto" w:after="0"/>
            </w:pPr>
            <w:r>
              <w:rPr>
                <w:rFonts w:ascii="Times New Roman" w:hAnsi="Times New Roman"/>
                <w:sz w:val="15"/>
              </w:rPr>
              <w:t>Small businesses</w:t>
            </w:r>
          </w:p>
        </w:tc>
        <w:tc>
          <w:tcPr>
            <w:tcW w:type="dxa" w:w="2592"/>
          </w:tcPr>
          <w:p>
            <w:pPr>
              <w:spacing w:line="240" w:lineRule="auto" w:after="0"/>
            </w:pPr>
            <w:r>
              <w:rPr>
                <w:rFonts w:ascii="Times New Roman" w:hAnsi="Times New Roman"/>
                <w:sz w:val="15"/>
              </w:rPr>
              <w:t>Demand stability, credit access, tax predictability, infrastructure</w:t>
            </w:r>
          </w:p>
        </w:tc>
        <w:tc>
          <w:tcPr>
            <w:tcW w:type="dxa" w:w="2592"/>
          </w:tcPr>
          <w:p>
            <w:pPr>
              <w:spacing w:line="240" w:lineRule="auto" w:after="0"/>
            </w:pPr>
            <w:r>
              <w:rPr>
                <w:rFonts w:ascii="Times New Roman" w:hAnsi="Times New Roman"/>
                <w:sz w:val="15"/>
              </w:rPr>
              <w:t>Volatile costs, financing shocks, compliance burden</w:t>
            </w:r>
          </w:p>
        </w:tc>
        <w:tc>
          <w:tcPr>
            <w:tcW w:type="dxa" w:w="3168"/>
          </w:tcPr>
          <w:p>
            <w:pPr>
              <w:spacing w:line="240" w:lineRule="auto" w:after="0"/>
            </w:pPr>
            <w:r>
              <w:rPr>
                <w:rFonts w:ascii="Times New Roman" w:hAnsi="Times New Roman"/>
                <w:sz w:val="15"/>
              </w:rPr>
              <w:t>Incidence testing; resilience; avoid unnecessary reporting burden</w:t>
            </w:r>
          </w:p>
        </w:tc>
      </w:tr>
      <w:tr>
        <w:tc>
          <w:tcPr>
            <w:tcW w:type="dxa" w:w="1800"/>
          </w:tcPr>
          <w:p>
            <w:pPr>
              <w:spacing w:line="240" w:lineRule="auto" w:after="0"/>
            </w:pPr>
            <w:r>
              <w:rPr>
                <w:rFonts w:ascii="Times New Roman" w:hAnsi="Times New Roman"/>
                <w:sz w:val="15"/>
              </w:rPr>
              <w:t>Large corporations and financial institutions</w:t>
            </w:r>
          </w:p>
        </w:tc>
        <w:tc>
          <w:tcPr>
            <w:tcW w:type="dxa" w:w="2592"/>
          </w:tcPr>
          <w:p>
            <w:pPr>
              <w:spacing w:line="240" w:lineRule="auto" w:after="0"/>
            </w:pPr>
            <w:r>
              <w:rPr>
                <w:rFonts w:ascii="Times New Roman" w:hAnsi="Times New Roman"/>
                <w:sz w:val="15"/>
              </w:rPr>
              <w:t>Deep markets, policy predictability, Treasury liquidity, stable demand</w:t>
            </w:r>
          </w:p>
        </w:tc>
        <w:tc>
          <w:tcPr>
            <w:tcW w:type="dxa" w:w="2592"/>
          </w:tcPr>
          <w:p>
            <w:pPr>
              <w:spacing w:line="240" w:lineRule="auto" w:after="0"/>
            </w:pPr>
            <w:r>
              <w:rPr>
                <w:rFonts w:ascii="Times New Roman" w:hAnsi="Times New Roman"/>
                <w:sz w:val="15"/>
              </w:rPr>
              <w:t>Regime shifts, market dysfunction, compliance uncertainty</w:t>
            </w:r>
          </w:p>
        </w:tc>
        <w:tc>
          <w:tcPr>
            <w:tcW w:type="dxa" w:w="3168"/>
          </w:tcPr>
          <w:p>
            <w:pPr>
              <w:spacing w:line="240" w:lineRule="auto" w:after="0"/>
            </w:pPr>
            <w:r>
              <w:rPr>
                <w:rFonts w:ascii="Times New Roman" w:hAnsi="Times New Roman"/>
                <w:sz w:val="15"/>
              </w:rPr>
              <w:t>Treasury-market constraint; explicit methodology; predictable review cycles</w:t>
            </w:r>
          </w:p>
        </w:tc>
      </w:tr>
      <w:tr>
        <w:tc>
          <w:tcPr>
            <w:tcW w:type="dxa" w:w="1800"/>
          </w:tcPr>
          <w:p>
            <w:pPr>
              <w:spacing w:line="240" w:lineRule="auto" w:after="0"/>
            </w:pPr>
            <w:r>
              <w:rPr>
                <w:rFonts w:ascii="Times New Roman" w:hAnsi="Times New Roman"/>
                <w:sz w:val="15"/>
              </w:rPr>
              <w:t>Retirees</w:t>
            </w:r>
          </w:p>
        </w:tc>
        <w:tc>
          <w:tcPr>
            <w:tcW w:type="dxa" w:w="2592"/>
          </w:tcPr>
          <w:p>
            <w:pPr>
              <w:spacing w:line="240" w:lineRule="auto" w:after="0"/>
            </w:pPr>
            <w:r>
              <w:rPr>
                <w:rFonts w:ascii="Times New Roman" w:hAnsi="Times New Roman"/>
                <w:sz w:val="15"/>
              </w:rPr>
              <w:t>Stable purchasing power, program solvency, reliable benefits</w:t>
            </w:r>
          </w:p>
        </w:tc>
        <w:tc>
          <w:tcPr>
            <w:tcW w:type="dxa" w:w="2592"/>
          </w:tcPr>
          <w:p>
            <w:pPr>
              <w:spacing w:line="240" w:lineRule="auto" w:after="0"/>
            </w:pPr>
            <w:r>
              <w:rPr>
                <w:rFonts w:ascii="Times New Roman" w:hAnsi="Times New Roman"/>
                <w:sz w:val="15"/>
              </w:rPr>
              <w:t>Inflation; abrupt benefit changes; market instability</w:t>
            </w:r>
          </w:p>
        </w:tc>
        <w:tc>
          <w:tcPr>
            <w:tcW w:type="dxa" w:w="3168"/>
          </w:tcPr>
          <w:p>
            <w:pPr>
              <w:spacing w:line="240" w:lineRule="auto" w:after="0"/>
            </w:pPr>
            <w:r>
              <w:rPr>
                <w:rFonts w:ascii="Times New Roman" w:hAnsi="Times New Roman"/>
                <w:sz w:val="15"/>
              </w:rPr>
              <w:t>Program solvency ledgers; no automatic cuts; RVU-H reporting</w:t>
            </w:r>
          </w:p>
        </w:tc>
      </w:tr>
      <w:tr>
        <w:tc>
          <w:tcPr>
            <w:tcW w:type="dxa" w:w="1800"/>
          </w:tcPr>
          <w:p>
            <w:pPr>
              <w:spacing w:line="240" w:lineRule="auto" w:after="0"/>
            </w:pPr>
            <w:r>
              <w:rPr>
                <w:rFonts w:ascii="Times New Roman" w:hAnsi="Times New Roman"/>
                <w:sz w:val="15"/>
              </w:rPr>
              <w:t>Younger and future generations</w:t>
            </w:r>
          </w:p>
        </w:tc>
        <w:tc>
          <w:tcPr>
            <w:tcW w:type="dxa" w:w="2592"/>
          </w:tcPr>
          <w:p>
            <w:pPr>
              <w:spacing w:line="240" w:lineRule="auto" w:after="0"/>
            </w:pPr>
            <w:r>
              <w:rPr>
                <w:rFonts w:ascii="Times New Roman" w:hAnsi="Times New Roman"/>
                <w:sz w:val="15"/>
              </w:rPr>
              <w:t>Fiscal capacity, productive investment, environmental and institutional inheritance</w:t>
            </w:r>
          </w:p>
        </w:tc>
        <w:tc>
          <w:tcPr>
            <w:tcW w:type="dxa" w:w="2592"/>
          </w:tcPr>
          <w:p>
            <w:pPr>
              <w:spacing w:line="240" w:lineRule="auto" w:after="0"/>
            </w:pPr>
            <w:r>
              <w:rPr>
                <w:rFonts w:ascii="Times New Roman" w:hAnsi="Times New Roman"/>
                <w:sz w:val="15"/>
              </w:rPr>
              <w:t>Deferred debt burden; degraded assets; reduced policy flexibility</w:t>
            </w:r>
          </w:p>
        </w:tc>
        <w:tc>
          <w:tcPr>
            <w:tcW w:type="dxa" w:w="3168"/>
          </w:tcPr>
          <w:p>
            <w:pPr>
              <w:spacing w:line="240" w:lineRule="auto" w:after="0"/>
            </w:pPr>
            <w:r>
              <w:rPr>
                <w:rFonts w:ascii="Times New Roman" w:hAnsi="Times New Roman"/>
                <w:sz w:val="15"/>
              </w:rPr>
              <w:t>Intergenerational incidence; delay costs visible; preserved deviation records</w:t>
            </w:r>
          </w:p>
        </w:tc>
      </w:tr>
      <w:tr>
        <w:tc>
          <w:tcPr>
            <w:tcW w:type="dxa" w:w="1800"/>
          </w:tcPr>
          <w:p>
            <w:pPr>
              <w:spacing w:line="240" w:lineRule="auto" w:after="0"/>
            </w:pPr>
            <w:r>
              <w:rPr>
                <w:rFonts w:ascii="Times New Roman" w:hAnsi="Times New Roman"/>
                <w:sz w:val="15"/>
              </w:rPr>
              <w:t>State and local governments</w:t>
            </w:r>
          </w:p>
        </w:tc>
        <w:tc>
          <w:tcPr>
            <w:tcW w:type="dxa" w:w="2592"/>
          </w:tcPr>
          <w:p>
            <w:pPr>
              <w:spacing w:line="240" w:lineRule="auto" w:after="0"/>
            </w:pPr>
            <w:r>
              <w:rPr>
                <w:rFonts w:ascii="Times New Roman" w:hAnsi="Times New Roman"/>
                <w:sz w:val="15"/>
              </w:rPr>
              <w:t>Predictable federal support and responsibilities</w:t>
            </w:r>
          </w:p>
        </w:tc>
        <w:tc>
          <w:tcPr>
            <w:tcW w:type="dxa" w:w="2592"/>
          </w:tcPr>
          <w:p>
            <w:pPr>
              <w:spacing w:line="240" w:lineRule="auto" w:after="0"/>
            </w:pPr>
            <w:r>
              <w:rPr>
                <w:rFonts w:ascii="Times New Roman" w:hAnsi="Times New Roman"/>
                <w:sz w:val="15"/>
              </w:rPr>
              <w:t>Unfunded mandates and shifted costs</w:t>
            </w:r>
          </w:p>
        </w:tc>
        <w:tc>
          <w:tcPr>
            <w:tcW w:type="dxa" w:w="3168"/>
          </w:tcPr>
          <w:p>
            <w:pPr>
              <w:spacing w:line="240" w:lineRule="auto" w:after="0"/>
            </w:pPr>
            <w:r>
              <w:rPr>
                <w:rFonts w:ascii="Times New Roman" w:hAnsi="Times New Roman"/>
                <w:sz w:val="15"/>
              </w:rPr>
              <w:t>Federal-State Incidence Test</w:t>
            </w:r>
          </w:p>
        </w:tc>
      </w:tr>
      <w:tr>
        <w:tc>
          <w:tcPr>
            <w:tcW w:type="dxa" w:w="1800"/>
          </w:tcPr>
          <w:p>
            <w:pPr>
              <w:spacing w:line="240" w:lineRule="auto" w:after="0"/>
            </w:pPr>
            <w:r>
              <w:rPr>
                <w:rFonts w:ascii="Times New Roman" w:hAnsi="Times New Roman"/>
                <w:sz w:val="15"/>
              </w:rPr>
              <w:t>Federal agencies and elected officials</w:t>
            </w:r>
          </w:p>
        </w:tc>
        <w:tc>
          <w:tcPr>
            <w:tcW w:type="dxa" w:w="2592"/>
          </w:tcPr>
          <w:p>
            <w:pPr>
              <w:spacing w:line="240" w:lineRule="auto" w:after="0"/>
            </w:pPr>
            <w:r>
              <w:rPr>
                <w:rFonts w:ascii="Times New Roman" w:hAnsi="Times New Roman"/>
                <w:sz w:val="15"/>
              </w:rPr>
              <w:t>Credible data, clearer choices, preserved institutional authority</w:t>
            </w:r>
          </w:p>
        </w:tc>
        <w:tc>
          <w:tcPr>
            <w:tcW w:type="dxa" w:w="2592"/>
          </w:tcPr>
          <w:p>
            <w:pPr>
              <w:spacing w:line="240" w:lineRule="auto" w:after="0"/>
            </w:pPr>
            <w:r>
              <w:rPr>
                <w:rFonts w:ascii="Times New Roman" w:hAnsi="Times New Roman"/>
                <w:sz w:val="15"/>
              </w:rPr>
              <w:t>Added bureaucracy; political exposure; conflicting metrics</w:t>
            </w:r>
          </w:p>
        </w:tc>
        <w:tc>
          <w:tcPr>
            <w:tcW w:type="dxa" w:w="3168"/>
          </w:tcPr>
          <w:p>
            <w:pPr>
              <w:spacing w:line="240" w:lineRule="auto" w:after="0"/>
            </w:pPr>
            <w:r>
              <w:rPr>
                <w:rFonts w:ascii="Times New Roman" w:hAnsi="Times New Roman"/>
                <w:sz w:val="15"/>
              </w:rPr>
              <w:t>No-new-agency bias; source ownership; explicit override principle</w:t>
            </w:r>
          </w:p>
        </w:tc>
      </w:tr>
      <w:tr>
        <w:tc>
          <w:tcPr>
            <w:tcW w:type="dxa" w:w="1800"/>
          </w:tcPr>
          <w:p>
            <w:pPr>
              <w:spacing w:line="240" w:lineRule="auto" w:after="0"/>
            </w:pPr>
            <w:r>
              <w:rPr>
                <w:rFonts w:ascii="Times New Roman" w:hAnsi="Times New Roman"/>
                <w:sz w:val="15"/>
              </w:rPr>
              <w:t>Treasury creditors and market participants</w:t>
            </w:r>
          </w:p>
        </w:tc>
        <w:tc>
          <w:tcPr>
            <w:tcW w:type="dxa" w:w="2592"/>
          </w:tcPr>
          <w:p>
            <w:pPr>
              <w:spacing w:line="240" w:lineRule="auto" w:after="0"/>
            </w:pPr>
            <w:r>
              <w:rPr>
                <w:rFonts w:ascii="Times New Roman" w:hAnsi="Times New Roman"/>
                <w:sz w:val="15"/>
              </w:rPr>
              <w:t>Liquidity, predictability, legal certainty, safe collateral</w:t>
            </w:r>
          </w:p>
        </w:tc>
        <w:tc>
          <w:tcPr>
            <w:tcW w:type="dxa" w:w="2592"/>
          </w:tcPr>
          <w:p>
            <w:pPr>
              <w:spacing w:line="240" w:lineRule="auto" w:after="0"/>
            </w:pPr>
            <w:r>
              <w:rPr>
                <w:rFonts w:ascii="Times New Roman" w:hAnsi="Times New Roman"/>
                <w:sz w:val="15"/>
              </w:rPr>
              <w:t>Supply shocks, market dysfunction, politicized debt management</w:t>
            </w:r>
          </w:p>
        </w:tc>
        <w:tc>
          <w:tcPr>
            <w:tcW w:type="dxa" w:w="3168"/>
          </w:tcPr>
          <w:p>
            <w:pPr>
              <w:spacing w:line="240" w:lineRule="auto" w:after="0"/>
            </w:pPr>
            <w:r>
              <w:rPr>
                <w:rFonts w:ascii="Times New Roman" w:hAnsi="Times New Roman"/>
                <w:sz w:val="15"/>
              </w:rPr>
              <w:t>Treasury retains issuance authority; market functionality as constraint</w:t>
            </w:r>
          </w:p>
        </w:tc>
      </w:tr>
    </w:tbl>
    <w:p/>
    <w:p>
      <w:pPr>
        <w:pStyle w:val="Heading1"/>
      </w:pPr>
      <w:r>
        <w:rPr>
          <w:i w:val="0"/>
        </w:rPr>
        <w:t>Appendix C. Adaptive Drift Trigger Register</w:t>
      </w:r>
    </w:p>
    <w:p>
      <w:r>
        <w:rPr>
          <w:i w:val="0"/>
        </w:rPr>
        <w:t>A drift trigger is a prompt for model review, not an automatic policy action. Thresholds remain unresolved until tested against official historical distributions and expert review.</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E8EDF3"/>
          </w:tcPr>
          <w:p>
            <w:r>
              <w:rPr>
                <w:rFonts w:ascii="Times New Roman" w:hAnsi="Times New Roman"/>
                <w:b/>
                <w:sz w:val="16"/>
              </w:rPr>
              <w:t>Trigger domain</w:t>
            </w:r>
          </w:p>
        </w:tc>
        <w:tc>
          <w:tcPr>
            <w:tcW w:type="dxa" w:w="3600"/>
            <w:shd w:fill="E8EDF3"/>
          </w:tcPr>
          <w:p>
            <w:r>
              <w:rPr>
                <w:rFonts w:ascii="Times New Roman" w:hAnsi="Times New Roman"/>
                <w:b/>
                <w:sz w:val="16"/>
              </w:rPr>
              <w:t>Observed drift</w:t>
            </w:r>
          </w:p>
        </w:tc>
        <w:tc>
          <w:tcPr>
            <w:tcW w:type="dxa" w:w="4032"/>
            <w:shd w:fill="E8EDF3"/>
          </w:tcPr>
          <w:p>
            <w:r>
              <w:rPr>
                <w:rFonts w:ascii="Times New Roman" w:hAnsi="Times New Roman"/>
                <w:b/>
                <w:sz w:val="16"/>
              </w:rPr>
              <w:t>Reason for review</w:t>
            </w:r>
          </w:p>
        </w:tc>
      </w:tr>
      <w:tr>
        <w:tc>
          <w:tcPr>
            <w:tcW w:type="dxa" w:w="2016"/>
          </w:tcPr>
          <w:p>
            <w:pPr>
              <w:spacing w:line="240" w:lineRule="auto" w:after="0"/>
            </w:pPr>
            <w:r>
              <w:rPr>
                <w:rFonts w:ascii="Times New Roman" w:hAnsi="Times New Roman"/>
                <w:sz w:val="16"/>
              </w:rPr>
              <w:t>Interest burden</w:t>
            </w:r>
          </w:p>
        </w:tc>
        <w:tc>
          <w:tcPr>
            <w:tcW w:type="dxa" w:w="3600"/>
          </w:tcPr>
          <w:p>
            <w:pPr>
              <w:spacing w:line="240" w:lineRule="auto" w:after="0"/>
            </w:pPr>
            <w:r>
              <w:rPr>
                <w:rFonts w:ascii="Times New Roman" w:hAnsi="Times New Roman"/>
                <w:sz w:val="16"/>
              </w:rPr>
              <w:t>Persistent change in net interest relative to revenue or GDP</w:t>
            </w:r>
          </w:p>
        </w:tc>
        <w:tc>
          <w:tcPr>
            <w:tcW w:type="dxa" w:w="4032"/>
          </w:tcPr>
          <w:p>
            <w:pPr>
              <w:spacing w:line="240" w:lineRule="auto" w:after="0"/>
            </w:pPr>
            <w:r>
              <w:rPr>
                <w:rFonts w:ascii="Times New Roman" w:hAnsi="Times New Roman"/>
                <w:sz w:val="16"/>
              </w:rPr>
              <w:t>Debt dynamics and fiscal capacity may have left tested range</w:t>
            </w:r>
          </w:p>
        </w:tc>
      </w:tr>
      <w:tr>
        <w:tc>
          <w:tcPr>
            <w:tcW w:type="dxa" w:w="2016"/>
          </w:tcPr>
          <w:p>
            <w:pPr>
              <w:spacing w:line="240" w:lineRule="auto" w:after="0"/>
            </w:pPr>
            <w:r>
              <w:rPr>
                <w:rFonts w:ascii="Times New Roman" w:hAnsi="Times New Roman"/>
                <w:sz w:val="16"/>
              </w:rPr>
              <w:t>Productivity</w:t>
            </w:r>
          </w:p>
        </w:tc>
        <w:tc>
          <w:tcPr>
            <w:tcW w:type="dxa" w:w="3600"/>
          </w:tcPr>
          <w:p>
            <w:pPr>
              <w:spacing w:line="240" w:lineRule="auto" w:after="0"/>
            </w:pPr>
            <w:r>
              <w:rPr>
                <w:rFonts w:ascii="Times New Roman" w:hAnsi="Times New Roman"/>
                <w:sz w:val="16"/>
              </w:rPr>
              <w:t>Persistent acceleration or deceleration relative to official baseline</w:t>
            </w:r>
          </w:p>
        </w:tc>
        <w:tc>
          <w:tcPr>
            <w:tcW w:type="dxa" w:w="4032"/>
          </w:tcPr>
          <w:p>
            <w:pPr>
              <w:spacing w:line="240" w:lineRule="auto" w:after="0"/>
            </w:pPr>
            <w:r>
              <w:rPr>
                <w:rFonts w:ascii="Times New Roman" w:hAnsi="Times New Roman"/>
                <w:sz w:val="16"/>
              </w:rPr>
              <w:t>Growth assumptions and return paths may be stale</w:t>
            </w:r>
          </w:p>
        </w:tc>
      </w:tr>
      <w:tr>
        <w:tc>
          <w:tcPr>
            <w:tcW w:type="dxa" w:w="2016"/>
          </w:tcPr>
          <w:p>
            <w:pPr>
              <w:spacing w:line="240" w:lineRule="auto" w:after="0"/>
            </w:pPr>
            <w:r>
              <w:rPr>
                <w:rFonts w:ascii="Times New Roman" w:hAnsi="Times New Roman"/>
                <w:sz w:val="16"/>
              </w:rPr>
              <w:t>Demographics</w:t>
            </w:r>
          </w:p>
        </w:tc>
        <w:tc>
          <w:tcPr>
            <w:tcW w:type="dxa" w:w="3600"/>
          </w:tcPr>
          <w:p>
            <w:pPr>
              <w:spacing w:line="240" w:lineRule="auto" w:after="0"/>
            </w:pPr>
            <w:r>
              <w:rPr>
                <w:rFonts w:ascii="Times New Roman" w:hAnsi="Times New Roman"/>
                <w:sz w:val="16"/>
              </w:rPr>
              <w:t>Material change in population, labor force, fertility, mortality, or migration</w:t>
            </w:r>
          </w:p>
        </w:tc>
        <w:tc>
          <w:tcPr>
            <w:tcW w:type="dxa" w:w="4032"/>
          </w:tcPr>
          <w:p>
            <w:pPr>
              <w:spacing w:line="240" w:lineRule="auto" w:after="0"/>
            </w:pPr>
            <w:r>
              <w:rPr>
                <w:rFonts w:ascii="Times New Roman" w:hAnsi="Times New Roman"/>
                <w:sz w:val="16"/>
              </w:rPr>
              <w:t>Revenue base and program solvency can change</w:t>
            </w:r>
          </w:p>
        </w:tc>
      </w:tr>
      <w:tr>
        <w:tc>
          <w:tcPr>
            <w:tcW w:type="dxa" w:w="2016"/>
          </w:tcPr>
          <w:p>
            <w:pPr>
              <w:spacing w:line="240" w:lineRule="auto" w:after="0"/>
            </w:pPr>
            <w:r>
              <w:rPr>
                <w:rFonts w:ascii="Times New Roman" w:hAnsi="Times New Roman"/>
                <w:sz w:val="16"/>
              </w:rPr>
              <w:t>Inflation regime</w:t>
            </w:r>
          </w:p>
        </w:tc>
        <w:tc>
          <w:tcPr>
            <w:tcW w:type="dxa" w:w="3600"/>
          </w:tcPr>
          <w:p>
            <w:pPr>
              <w:spacing w:line="240" w:lineRule="auto" w:after="0"/>
            </w:pPr>
            <w:r>
              <w:rPr>
                <w:rFonts w:ascii="Times New Roman" w:hAnsi="Times New Roman"/>
                <w:sz w:val="16"/>
              </w:rPr>
              <w:t>Persistent change in level, persistence, breadth, or expectations</w:t>
            </w:r>
          </w:p>
        </w:tc>
        <w:tc>
          <w:tcPr>
            <w:tcW w:type="dxa" w:w="4032"/>
          </w:tcPr>
          <w:p>
            <w:pPr>
              <w:spacing w:line="240" w:lineRule="auto" w:after="0"/>
            </w:pPr>
            <w:r>
              <w:rPr>
                <w:rFonts w:ascii="Times New Roman" w:hAnsi="Times New Roman"/>
                <w:sz w:val="16"/>
              </w:rPr>
              <w:t>Purchasing-power and debt dynamics may behave differently</w:t>
            </w:r>
          </w:p>
        </w:tc>
      </w:tr>
      <w:tr>
        <w:tc>
          <w:tcPr>
            <w:tcW w:type="dxa" w:w="2016"/>
          </w:tcPr>
          <w:p>
            <w:pPr>
              <w:spacing w:line="240" w:lineRule="auto" w:after="0"/>
            </w:pPr>
            <w:r>
              <w:rPr>
                <w:rFonts w:ascii="Times New Roman" w:hAnsi="Times New Roman"/>
                <w:sz w:val="16"/>
              </w:rPr>
              <w:t>Treasury market</w:t>
            </w:r>
          </w:p>
        </w:tc>
        <w:tc>
          <w:tcPr>
            <w:tcW w:type="dxa" w:w="3600"/>
          </w:tcPr>
          <w:p>
            <w:pPr>
              <w:spacing w:line="240" w:lineRule="auto" w:after="0"/>
            </w:pPr>
            <w:r>
              <w:rPr>
                <w:rFonts w:ascii="Times New Roman" w:hAnsi="Times New Roman"/>
                <w:sz w:val="16"/>
              </w:rPr>
              <w:t>Material deterioration in liquidity, intermediation, collateral demand, or investor composition</w:t>
            </w:r>
          </w:p>
        </w:tc>
        <w:tc>
          <w:tcPr>
            <w:tcW w:type="dxa" w:w="4032"/>
          </w:tcPr>
          <w:p>
            <w:pPr>
              <w:spacing w:line="240" w:lineRule="auto" w:after="0"/>
            </w:pPr>
            <w:r>
              <w:rPr>
                <w:rFonts w:ascii="Times New Roman" w:hAnsi="Times New Roman"/>
                <w:sz w:val="16"/>
              </w:rPr>
              <w:t>Debt corridor may threaten market function</w:t>
            </w:r>
          </w:p>
        </w:tc>
      </w:tr>
      <w:tr>
        <w:tc>
          <w:tcPr>
            <w:tcW w:type="dxa" w:w="2016"/>
          </w:tcPr>
          <w:p>
            <w:pPr>
              <w:spacing w:line="240" w:lineRule="auto" w:after="0"/>
            </w:pPr>
            <w:r>
              <w:rPr>
                <w:rFonts w:ascii="Times New Roman" w:hAnsi="Times New Roman"/>
                <w:sz w:val="16"/>
              </w:rPr>
              <w:t>Household purchasing power</w:t>
            </w:r>
          </w:p>
        </w:tc>
        <w:tc>
          <w:tcPr>
            <w:tcW w:type="dxa" w:w="3600"/>
          </w:tcPr>
          <w:p>
            <w:pPr>
              <w:spacing w:line="240" w:lineRule="auto" w:after="0"/>
            </w:pPr>
            <w:r>
              <w:rPr>
                <w:rFonts w:ascii="Times New Roman" w:hAnsi="Times New Roman"/>
                <w:sz w:val="16"/>
              </w:rPr>
              <w:t>Persistent divergence between nominal gains and real household conditions</w:t>
            </w:r>
          </w:p>
        </w:tc>
        <w:tc>
          <w:tcPr>
            <w:tcW w:type="dxa" w:w="4032"/>
          </w:tcPr>
          <w:p>
            <w:pPr>
              <w:spacing w:line="240" w:lineRule="auto" w:after="0"/>
            </w:pPr>
            <w:r>
              <w:rPr>
                <w:rFonts w:ascii="Times New Roman" w:hAnsi="Times New Roman"/>
                <w:sz w:val="16"/>
              </w:rPr>
              <w:t>Fiscal success may be masking welfare loss</w:t>
            </w:r>
          </w:p>
        </w:tc>
      </w:tr>
      <w:tr>
        <w:tc>
          <w:tcPr>
            <w:tcW w:type="dxa" w:w="2016"/>
          </w:tcPr>
          <w:p>
            <w:pPr>
              <w:spacing w:line="240" w:lineRule="auto" w:after="0"/>
            </w:pPr>
            <w:r>
              <w:rPr>
                <w:rFonts w:ascii="Times New Roman" w:hAnsi="Times New Roman"/>
                <w:sz w:val="16"/>
              </w:rPr>
              <w:t>Distribution</w:t>
            </w:r>
          </w:p>
        </w:tc>
        <w:tc>
          <w:tcPr>
            <w:tcW w:type="dxa" w:w="3600"/>
          </w:tcPr>
          <w:p>
            <w:pPr>
              <w:spacing w:line="240" w:lineRule="auto" w:after="0"/>
            </w:pPr>
            <w:r>
              <w:rPr>
                <w:rFonts w:ascii="Times New Roman" w:hAnsi="Times New Roman"/>
                <w:sz w:val="16"/>
              </w:rPr>
              <w:t>Large changes in who bears taxes, inflation, debt-service burden, or policy transfers</w:t>
            </w:r>
          </w:p>
        </w:tc>
        <w:tc>
          <w:tcPr>
            <w:tcW w:type="dxa" w:w="4032"/>
          </w:tcPr>
          <w:p>
            <w:pPr>
              <w:spacing w:line="240" w:lineRule="auto" w:after="0"/>
            </w:pPr>
            <w:r>
              <w:rPr>
                <w:rFonts w:ascii="Times New Roman" w:hAnsi="Times New Roman"/>
                <w:sz w:val="16"/>
              </w:rPr>
              <w:t>Stakeholder incentives and legitimacy may change</w:t>
            </w:r>
          </w:p>
        </w:tc>
      </w:tr>
      <w:tr>
        <w:tc>
          <w:tcPr>
            <w:tcW w:type="dxa" w:w="2016"/>
          </w:tcPr>
          <w:p>
            <w:pPr>
              <w:spacing w:line="240" w:lineRule="auto" w:after="0"/>
            </w:pPr>
            <w:r>
              <w:rPr>
                <w:rFonts w:ascii="Times New Roman" w:hAnsi="Times New Roman"/>
                <w:sz w:val="16"/>
              </w:rPr>
              <w:t>Technology / AI</w:t>
            </w:r>
          </w:p>
        </w:tc>
        <w:tc>
          <w:tcPr>
            <w:tcW w:type="dxa" w:w="3600"/>
          </w:tcPr>
          <w:p>
            <w:pPr>
              <w:spacing w:line="240" w:lineRule="auto" w:after="0"/>
            </w:pPr>
            <w:r>
              <w:rPr>
                <w:rFonts w:ascii="Times New Roman" w:hAnsi="Times New Roman"/>
                <w:sz w:val="16"/>
              </w:rPr>
              <w:t>Material productivity or labor-market regime change</w:t>
            </w:r>
          </w:p>
        </w:tc>
        <w:tc>
          <w:tcPr>
            <w:tcW w:type="dxa" w:w="4032"/>
          </w:tcPr>
          <w:p>
            <w:pPr>
              <w:spacing w:line="240" w:lineRule="auto" w:after="0"/>
            </w:pPr>
            <w:r>
              <w:rPr>
                <w:rFonts w:ascii="Times New Roman" w:hAnsi="Times New Roman"/>
                <w:sz w:val="16"/>
              </w:rPr>
              <w:t>Historic coefficients may no longer fit</w:t>
            </w:r>
          </w:p>
        </w:tc>
      </w:tr>
      <w:tr>
        <w:tc>
          <w:tcPr>
            <w:tcW w:type="dxa" w:w="2016"/>
          </w:tcPr>
          <w:p>
            <w:pPr>
              <w:spacing w:line="240" w:lineRule="auto" w:after="0"/>
            </w:pPr>
            <w:r>
              <w:rPr>
                <w:rFonts w:ascii="Times New Roman" w:hAnsi="Times New Roman"/>
                <w:sz w:val="16"/>
              </w:rPr>
              <w:t>Emergency borrowing</w:t>
            </w:r>
          </w:p>
        </w:tc>
        <w:tc>
          <w:tcPr>
            <w:tcW w:type="dxa" w:w="3600"/>
          </w:tcPr>
          <w:p>
            <w:pPr>
              <w:spacing w:line="240" w:lineRule="auto" w:after="0"/>
            </w:pPr>
            <w:r>
              <w:rPr>
                <w:rFonts w:ascii="Times New Roman" w:hAnsi="Times New Roman"/>
                <w:sz w:val="16"/>
              </w:rPr>
              <w:t>Extraordinary borrowing outside prior range</w:t>
            </w:r>
          </w:p>
        </w:tc>
        <w:tc>
          <w:tcPr>
            <w:tcW w:type="dxa" w:w="4032"/>
          </w:tcPr>
          <w:p>
            <w:pPr>
              <w:spacing w:line="240" w:lineRule="auto" w:after="0"/>
            </w:pPr>
            <w:r>
              <w:rPr>
                <w:rFonts w:ascii="Times New Roman" w:hAnsi="Times New Roman"/>
                <w:sz w:val="16"/>
              </w:rPr>
              <w:t>Return-path and recovery ledger require recalibration</w:t>
            </w:r>
          </w:p>
        </w:tc>
      </w:tr>
      <w:tr>
        <w:tc>
          <w:tcPr>
            <w:tcW w:type="dxa" w:w="2016"/>
          </w:tcPr>
          <w:p>
            <w:pPr>
              <w:spacing w:line="240" w:lineRule="auto" w:after="0"/>
            </w:pPr>
            <w:r>
              <w:rPr>
                <w:rFonts w:ascii="Times New Roman" w:hAnsi="Times New Roman"/>
                <w:sz w:val="16"/>
              </w:rPr>
              <w:t>Statistical reliability</w:t>
            </w:r>
          </w:p>
        </w:tc>
        <w:tc>
          <w:tcPr>
            <w:tcW w:type="dxa" w:w="3600"/>
          </w:tcPr>
          <w:p>
            <w:pPr>
              <w:spacing w:line="240" w:lineRule="auto" w:after="0"/>
            </w:pPr>
            <w:r>
              <w:rPr>
                <w:rFonts w:ascii="Times New Roman" w:hAnsi="Times New Roman"/>
                <w:sz w:val="16"/>
              </w:rPr>
              <w:t>Major revisions, methodology changes, missing data, or audit qualifications</w:t>
            </w:r>
          </w:p>
        </w:tc>
        <w:tc>
          <w:tcPr>
            <w:tcW w:type="dxa" w:w="4032"/>
          </w:tcPr>
          <w:p>
            <w:pPr>
              <w:spacing w:line="240" w:lineRule="auto" w:after="0"/>
            </w:pPr>
            <w:r>
              <w:rPr>
                <w:rFonts w:ascii="Times New Roman" w:hAnsi="Times New Roman"/>
                <w:sz w:val="16"/>
              </w:rPr>
              <w:t>Observed field may be changing because the ruler changed</w:t>
            </w:r>
          </w:p>
        </w:tc>
      </w:tr>
    </w:tbl>
    <w:p/>
    <w:p>
      <w:pPr>
        <w:pStyle w:val="Heading1"/>
      </w:pPr>
      <w:r>
        <w:rPr>
          <w:i w:val="0"/>
        </w:rPr>
        <w:t>Closing Note</w:t>
      </w:r>
    </w:p>
    <w:p>
      <w:pPr>
        <w:pStyle w:val="BlockQuote"/>
      </w:pPr>
      <w:r>
        <w:rPr>
          <w:i w:val="0"/>
        </w:rPr>
        <w:t>Test it. Challenge it. Measure it.</w:t>
      </w:r>
    </w:p>
    <w:p>
      <w:r>
        <w:rPr>
          <w:i w:val="0"/>
        </w:rPr>
        <w:t>Nexus is offered for scrutiny, correction, independent evaluation, and possible rejection. Its strongest claim is not that it has found the answer. Its stronger claim is methodological: a public system should preserve what it knew, show what changed, reveal who bears the consequences, allow emergency action without erasing the recovery obligation, and remain capable of recognizing when its own assumptions no longer fit reality.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NEXUS - THE RETURN PATH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8"/>
      </w:rPr>
      <w:t>NEXUS - THE RETURN PATH | APA ACADEMIC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276" w:lineRule="auto"/>
      <w:outlineLvl w:val="0"/>
    </w:pPr>
    <w:rPr>
      <w:rFonts w:asciiTheme="majorHAnsi" w:eastAsiaTheme="majorEastAsia" w:hAnsiTheme="majorHAnsi" w:cstheme="majorBidi" w:ascii="Times New Roman" w:hAnsi="Times New Roman"/>
      <w:b/>
      <w:bCs/>
      <w:color w:val="0F264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F264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b/>
      <w:bCs/>
      <w:color w:val="2828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b/>
      <w:color w:val="0F26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line="276" w:lineRule="auto"/>
    </w:pPr>
    <w:rPr>
      <w:rFonts w:asciiTheme="majorHAnsi" w:eastAsiaTheme="majorEastAsia" w:hAnsiTheme="majorHAnsi" w:cstheme="majorBidi" w:ascii="Times New Roman" w:hAnsi="Times New Roman"/>
      <w:b w:val="0"/>
      <w:i/>
      <w:iCs/>
      <w:color w:val="32323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480" w:lineRule="auto"/>
      <w:ind w:firstLine="720"/>
    </w:pPr>
    <w:rPr>
      <w:rFonts w:ascii="Times New Roman" w:hAnsi="Times New Roman"/>
      <w:sz w:val="22"/>
    </w:rPr>
  </w:style>
  <w:style w:type="paragraph" w:customStyle="1" w:styleId="BlockQuote">
    <w:name w:val="Block Quote"/>
    <w:pPr>
      <w:spacing w:line="360" w:lineRule="auto" w:before="120" w:after="120"/>
      <w:ind w:left="720" w:right="720"/>
    </w:pPr>
    <w:rPr>
      <w:rFonts w:ascii="Times New Roman" w:hAnsi="Times New Roman"/>
      <w:i/>
      <w:color w:val="2D2D2D"/>
      <w:sz w:val="22"/>
    </w:rPr>
  </w:style>
  <w:style w:type="paragraph" w:customStyle="1" w:styleId="Small">
    <w:name w:val="Small"/>
    <w:pPr>
      <w:spacing w:line="264" w:lineRule="auto" w:after="40"/>
    </w:pPr>
    <w:rPr>
      <w:rFonts w:ascii="Times New Roman" w:hAnsi="Times New Roman"/>
      <w:sz w:val="18"/>
    </w:rPr>
  </w:style>
  <w:style w:type="paragraph" w:customStyle="1" w:styleId="SourceNote">
    <w:name w:val="Source Note"/>
    <w:pPr>
      <w:spacing w:line="300" w:lineRule="auto" w:after="60"/>
      <w:ind w:firstLine="0"/>
    </w:pPr>
    <w:rPr>
      <w:rFonts w:ascii="Times New Roman" w:hAnsi="Times New Roman"/>
      <w:sz w:val="20"/>
    </w:rPr>
  </w:style>
  <w:style w:type="paragraph" w:customStyle="1" w:styleId="NoIndent">
    <w:name w:val="No Indent"/>
    <w:pPr>
      <w:spacing w:line="480" w:lineRule="auto" w:after="0"/>
      <w:ind w:firstLin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The Return Path: A Citizen Proposal for Fiscal Resilience, Memory, and Accountability</dc:title>
  <dc:subject>APA Academic Review Edition v0.2</dc:subject>
  <dc:creator>Charles Baldwin</dc:creator>
  <cp:keywords>Nexus, fiscal resilience, fiscal memory, accountability, public debt, incentive compatibility, waypoint, policy evaluation</cp:keywords>
  <dc:description>generated by python-docx</dc:description>
  <cp:lastModifiedBy/>
  <cp:revision>1</cp:revision>
  <dcterms:created xsi:type="dcterms:W3CDTF">2013-12-23T23:15:00Z</dcterms:created>
  <dcterms:modified xsi:type="dcterms:W3CDTF">2013-12-23T23:15:00Z</dcterms:modified>
  <cp:category/>
</cp:coreProperties>
</file>