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FCB4C" w14:textId="6390693E" w:rsidR="00C819A0" w:rsidRPr="00F65BE2" w:rsidRDefault="00EC60C7" w:rsidP="00EC60C7">
      <w:pPr>
        <w:jc w:val="center"/>
        <w:rPr>
          <w:b/>
          <w:bCs/>
          <w:sz w:val="40"/>
          <w:szCs w:val="40"/>
          <w:u w:val="single"/>
          <w:lang w:val="fr-FR"/>
        </w:rPr>
      </w:pPr>
      <w:r w:rsidRPr="00F65BE2">
        <w:rPr>
          <w:b/>
          <w:bCs/>
          <w:sz w:val="40"/>
          <w:szCs w:val="40"/>
          <w:u w:val="single"/>
          <w:lang w:val="fr-FR"/>
        </w:rPr>
        <w:t>P</w:t>
      </w:r>
      <w:r w:rsidR="00C819A0" w:rsidRPr="00F65BE2">
        <w:rPr>
          <w:b/>
          <w:bCs/>
          <w:sz w:val="40"/>
          <w:szCs w:val="40"/>
          <w:u w:val="single"/>
          <w:lang w:val="fr-FR"/>
        </w:rPr>
        <w:t xml:space="preserve">roportion des ventes par </w:t>
      </w:r>
      <w:r w:rsidRPr="00F65BE2">
        <w:rPr>
          <w:b/>
          <w:bCs/>
          <w:sz w:val="40"/>
          <w:szCs w:val="40"/>
          <w:u w:val="single"/>
          <w:lang w:val="fr-FR"/>
        </w:rPr>
        <w:t>catégorie</w:t>
      </w:r>
      <w:r w:rsidR="00C819A0" w:rsidRPr="00F65BE2">
        <w:rPr>
          <w:b/>
          <w:bCs/>
          <w:sz w:val="40"/>
          <w:szCs w:val="40"/>
          <w:u w:val="single"/>
          <w:lang w:val="fr-FR"/>
        </w:rPr>
        <w:t xml:space="preserve"> de produit</w:t>
      </w:r>
    </w:p>
    <w:p w14:paraId="23188C9D" w14:textId="58CDF187" w:rsidR="00ED04C3" w:rsidRDefault="00ED04C3">
      <w:pPr>
        <w:rPr>
          <w:lang w:val="fr-FR"/>
        </w:rPr>
      </w:pPr>
      <w:r>
        <w:rPr>
          <w:noProof/>
        </w:rPr>
        <w:drawing>
          <wp:inline distT="0" distB="0" distL="0" distR="0" wp14:anchorId="014BE3FC" wp14:editId="08053AC3">
            <wp:extent cx="5943600" cy="4622800"/>
            <wp:effectExtent l="0" t="0" r="0" b="6350"/>
            <wp:docPr id="213773480"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3480" name="Picture 1" descr="A graph of a bar char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016951F8" w14:textId="407A53F0" w:rsidR="00EC60C7" w:rsidRDefault="00EC60C7">
      <w:pPr>
        <w:rPr>
          <w:lang w:val="fr-FR"/>
        </w:rPr>
      </w:pPr>
      <w:r w:rsidRPr="00EC60C7">
        <w:rPr>
          <w:lang w:val="fr-FR"/>
        </w:rPr>
        <w:t xml:space="preserve">La catégorie </w:t>
      </w:r>
      <w:r w:rsidRPr="00EC60C7">
        <w:rPr>
          <w:i/>
          <w:iCs/>
          <w:lang w:val="fr-FR"/>
        </w:rPr>
        <w:t>Mode / Nourriture / Biens de consommation</w:t>
      </w:r>
      <w:r w:rsidRPr="00EC60C7">
        <w:rPr>
          <w:lang w:val="fr-FR"/>
        </w:rPr>
        <w:t xml:space="preserve"> concentre la majorité des ventes depuis l’arrêt du segment High Tech. Cette réorganisation a réduit le poids des articles à fort ticket moyen et explique en partie la baisse relative du chiffre d’affaires.</w:t>
      </w:r>
    </w:p>
    <w:p w14:paraId="76BE747A" w14:textId="77777777" w:rsidR="00EC60C7" w:rsidRDefault="00EC60C7">
      <w:pPr>
        <w:rPr>
          <w:lang w:val="fr-FR"/>
        </w:rPr>
      </w:pPr>
    </w:p>
    <w:p w14:paraId="62CE4252" w14:textId="2DEC2372" w:rsidR="00EC60C7" w:rsidRPr="00EC60C7" w:rsidRDefault="00EC60C7" w:rsidP="00EC60C7">
      <w:pPr>
        <w:rPr>
          <w:lang w:val="fr-FR"/>
        </w:rPr>
      </w:pPr>
      <w:r w:rsidRPr="00EC60C7">
        <w:rPr>
          <w:b/>
          <w:bCs/>
          <w:lang w:val="fr-FR"/>
        </w:rPr>
        <w:t>Notes (2–3 phrases) :</w:t>
      </w:r>
    </w:p>
    <w:p w14:paraId="1DD33682" w14:textId="77777777" w:rsidR="00EC60C7" w:rsidRPr="00EC60C7" w:rsidRDefault="00EC60C7" w:rsidP="00EC60C7">
      <w:pPr>
        <w:rPr>
          <w:lang w:val="fr-FR"/>
        </w:rPr>
      </w:pPr>
      <w:r w:rsidRPr="00EC60C7">
        <w:rPr>
          <w:lang w:val="fr-FR"/>
        </w:rPr>
        <w:t>Depuis la suppression du segment High Tech (fort ticket moyen), la part des ventes s’est reconfigurée autour de la nourriture et des biens de consommation. Le CA total a baissé proportionnellement, mais la concentration sur ces catégories ouvre des opportunités (produits phares, upsell, bundles).</w:t>
      </w:r>
    </w:p>
    <w:p w14:paraId="7E131A25" w14:textId="77777777" w:rsidR="00EC60C7" w:rsidRPr="00EC60C7" w:rsidRDefault="00EC60C7">
      <w:pPr>
        <w:rPr>
          <w:lang w:val="fr-FR"/>
        </w:rPr>
      </w:pPr>
    </w:p>
    <w:p w14:paraId="0CE780E3" w14:textId="77777777" w:rsidR="00EC60C7" w:rsidRDefault="007D4AB6" w:rsidP="00EC60C7">
      <w:pPr>
        <w:rPr>
          <w:lang w:val="fr-FR"/>
        </w:rPr>
      </w:pPr>
      <w:r w:rsidRPr="00EC60C7">
        <w:rPr>
          <w:b/>
          <w:bCs/>
          <w:lang w:val="fr-FR"/>
        </w:rPr>
        <w:lastRenderedPageBreak/>
        <w:t>Conclusion</w:t>
      </w:r>
      <w:r>
        <w:rPr>
          <w:lang w:val="fr-FR"/>
        </w:rPr>
        <w:t xml:space="preserve"> : </w:t>
      </w:r>
      <w:r w:rsidR="00EC60C7" w:rsidRPr="00EC60C7">
        <w:rPr>
          <w:lang w:val="fr-FR"/>
        </w:rPr>
        <w:t>La baisse du CA est principalement structurelle : la perte du High Tech a fait chuter le ticket moyen, même si le volume sur la nouvelle catégorie est en croissance.</w:t>
      </w:r>
    </w:p>
    <w:p w14:paraId="658CB5DB" w14:textId="3D33F269" w:rsidR="00EC60C7" w:rsidRPr="00F65BE2" w:rsidRDefault="00EC60C7" w:rsidP="00EC60C7">
      <w:pPr>
        <w:jc w:val="center"/>
        <w:rPr>
          <w:sz w:val="40"/>
          <w:szCs w:val="40"/>
          <w:u w:val="single"/>
          <w:lang w:val="fr-FR"/>
        </w:rPr>
      </w:pPr>
      <w:r w:rsidRPr="00F65BE2">
        <w:rPr>
          <w:b/>
          <w:bCs/>
          <w:sz w:val="40"/>
          <w:szCs w:val="40"/>
          <w:u w:val="single"/>
          <w:lang w:val="fr-FR"/>
        </w:rPr>
        <w:t>Comportement d’achat : montant du panier et engagement (sessions avec achat)</w:t>
      </w:r>
    </w:p>
    <w:p w14:paraId="6879ABF9" w14:textId="058C91E3" w:rsidR="003265E1" w:rsidRDefault="00EC60C7" w:rsidP="003265E1">
      <w:pPr>
        <w:rPr>
          <w:lang w:val="fr-FR"/>
        </w:rPr>
      </w:pPr>
      <w:r>
        <w:rPr>
          <w:lang w:val="fr-FR"/>
        </w:rPr>
        <w:t>(</w:t>
      </w:r>
      <w:r w:rsidR="00C819A0">
        <w:rPr>
          <w:lang w:val="fr-FR"/>
        </w:rPr>
        <w:t xml:space="preserve">Les </w:t>
      </w:r>
      <w:r w:rsidR="00ED04C3">
        <w:rPr>
          <w:lang w:val="fr-FR"/>
        </w:rPr>
        <w:t>montants</w:t>
      </w:r>
      <w:r w:rsidR="00C819A0">
        <w:rPr>
          <w:lang w:val="fr-FR"/>
        </w:rPr>
        <w:t xml:space="preserve"> des achats des clients</w:t>
      </w:r>
      <w:r w:rsidR="0037116C">
        <w:rPr>
          <w:lang w:val="fr-FR"/>
        </w:rPr>
        <w:t xml:space="preserve"> / </w:t>
      </w:r>
      <w:r w:rsidR="0037116C" w:rsidRPr="00C819A0">
        <w:rPr>
          <w:lang w:val="fr-FR"/>
        </w:rPr>
        <w:t>la variabilité du temps passé par les visiteurs sur le site web (pour les sessions ayant abouti à un achat).</w:t>
      </w:r>
      <w:r w:rsidR="0037116C">
        <w:rPr>
          <w:lang w:val="fr-FR"/>
        </w:rPr>
        <w:t>*</w:t>
      </w:r>
      <w:r w:rsidR="003265E1">
        <w:rPr>
          <w:lang w:val="fr-FR"/>
        </w:rPr>
        <w:t>/</w:t>
      </w:r>
      <w:r w:rsidR="003265E1" w:rsidRPr="003265E1">
        <w:rPr>
          <w:lang w:val="fr-FR"/>
        </w:rPr>
        <w:t xml:space="preserve"> </w:t>
      </w:r>
      <w:r w:rsidR="003265E1" w:rsidRPr="00C819A0">
        <w:rPr>
          <w:lang w:val="fr-FR"/>
        </w:rPr>
        <w:t>Le temps passé par les visiteurs sur le site web (pour les sessions ayant abouti à un achat) </w:t>
      </w:r>
      <w:r>
        <w:rPr>
          <w:lang w:val="fr-FR"/>
        </w:rPr>
        <w:t>)</w:t>
      </w:r>
    </w:p>
    <w:p w14:paraId="4D8109AC" w14:textId="390D6164" w:rsidR="0037116C" w:rsidRDefault="00EC60C7" w:rsidP="0037116C">
      <w:pPr>
        <w:rPr>
          <w:lang w:val="fr-FR"/>
        </w:rPr>
      </w:pPr>
      <w:r>
        <w:rPr>
          <w:noProof/>
        </w:rPr>
        <w:drawing>
          <wp:inline distT="0" distB="0" distL="0" distR="0" wp14:anchorId="515E121E" wp14:editId="20E9EC1B">
            <wp:extent cx="5608320" cy="3247390"/>
            <wp:effectExtent l="0" t="0" r="0" b="0"/>
            <wp:docPr id="745200635" name="Picture 7"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00635" name="Picture 7" descr="A graph of a graph&#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148" cy="3255976"/>
                    </a:xfrm>
                    <a:prstGeom prst="rect">
                      <a:avLst/>
                    </a:prstGeom>
                    <a:noFill/>
                    <a:ln>
                      <a:noFill/>
                    </a:ln>
                  </pic:spPr>
                </pic:pic>
              </a:graphicData>
            </a:graphic>
          </wp:inline>
        </w:drawing>
      </w:r>
    </w:p>
    <w:p w14:paraId="0DC680C0" w14:textId="750CE274" w:rsidR="00C819A0" w:rsidRPr="00EC60C7" w:rsidRDefault="00EC60C7">
      <w:pPr>
        <w:rPr>
          <w:lang w:val="fr-FR"/>
        </w:rPr>
      </w:pPr>
      <w:r w:rsidRPr="00EC60C7">
        <w:rPr>
          <w:lang w:val="fr-FR"/>
        </w:rPr>
        <w:t xml:space="preserve">La majorité des paniers se situe sur la fourchette </w:t>
      </w:r>
      <w:r w:rsidRPr="00EC60C7">
        <w:rPr>
          <w:b/>
          <w:bCs/>
          <w:lang w:val="fr-FR"/>
        </w:rPr>
        <w:t>1–100 €</w:t>
      </w:r>
      <w:r w:rsidRPr="00EC60C7">
        <w:rPr>
          <w:lang w:val="fr-FR"/>
        </w:rPr>
        <w:t xml:space="preserve"> ; les clients qui achètent restent en moyenne </w:t>
      </w:r>
      <w:r w:rsidRPr="00EC60C7">
        <w:rPr>
          <w:b/>
          <w:bCs/>
          <w:lang w:val="fr-FR"/>
        </w:rPr>
        <w:t>6–8 minutes</w:t>
      </w:r>
      <w:r w:rsidRPr="00EC60C7">
        <w:rPr>
          <w:lang w:val="fr-FR"/>
        </w:rPr>
        <w:t xml:space="preserve"> sur le site.</w:t>
      </w:r>
    </w:p>
    <w:p w14:paraId="6B2C0550" w14:textId="73BD82A6" w:rsidR="00EC60C7" w:rsidRPr="00EC60C7" w:rsidRDefault="00EC60C7" w:rsidP="00EC60C7">
      <w:pPr>
        <w:rPr>
          <w:lang w:val="fr-FR"/>
        </w:rPr>
      </w:pPr>
      <w:r w:rsidRPr="00EC60C7">
        <w:rPr>
          <w:b/>
          <w:bCs/>
          <w:lang w:val="fr-FR"/>
        </w:rPr>
        <w:t>Notes :</w:t>
      </w:r>
    </w:p>
    <w:p w14:paraId="36632C43" w14:textId="35A271B8" w:rsidR="00EC60C7" w:rsidRDefault="00EC60C7">
      <w:pPr>
        <w:rPr>
          <w:lang w:val="fr-FR"/>
        </w:rPr>
      </w:pPr>
      <w:r w:rsidRPr="00EC60C7">
        <w:rPr>
          <w:lang w:val="fr-FR"/>
        </w:rPr>
        <w:t>Le panier moyen est plus faible que durant la période High Tech. On observe que les sessions les plus longues (6–8 min) correspondent aux plus gros paniers, signe d’un parcours client efficace pour ceux qui s’engagent. Opportunité : travailler l’incitation à l’achat sur les sessions courtes (0–4 min) pour augmenter la conversion et le panier moyen.</w:t>
      </w:r>
    </w:p>
    <w:p w14:paraId="009BFF0C" w14:textId="6C0BBC85" w:rsidR="00C819A0" w:rsidRDefault="002E26C1">
      <w:pPr>
        <w:rPr>
          <w:lang w:val="fr-FR"/>
        </w:rPr>
      </w:pPr>
      <w:r w:rsidRPr="00EC60C7">
        <w:rPr>
          <w:b/>
          <w:bCs/>
          <w:lang w:val="fr-FR"/>
        </w:rPr>
        <w:t>Conclure</w:t>
      </w:r>
      <w:r>
        <w:rPr>
          <w:lang w:val="fr-FR"/>
        </w:rPr>
        <w:t> :</w:t>
      </w:r>
    </w:p>
    <w:p w14:paraId="4FFEFA13" w14:textId="77777777" w:rsidR="00EC60C7" w:rsidRPr="00EC60C7" w:rsidRDefault="00EC60C7" w:rsidP="00EC60C7">
      <w:pPr>
        <w:rPr>
          <w:lang w:val="fr-FR"/>
        </w:rPr>
      </w:pPr>
      <w:r w:rsidRPr="00EC60C7">
        <w:rPr>
          <w:lang w:val="fr-FR"/>
        </w:rPr>
        <w:t>Le site convertit bien les visiteurs engagés ; la marge de progression est d’augmenter le taux d’engagement initial (promotions ciblées, CTA améliorés).</w:t>
      </w:r>
    </w:p>
    <w:p w14:paraId="169F2031" w14:textId="77777777" w:rsidR="00EC60C7" w:rsidRDefault="00EC60C7">
      <w:pPr>
        <w:rPr>
          <w:lang w:val="fr-FR"/>
        </w:rPr>
      </w:pPr>
    </w:p>
    <w:p w14:paraId="0A1B79C1" w14:textId="77777777" w:rsidR="00EC60C7" w:rsidRDefault="00EC60C7">
      <w:pPr>
        <w:rPr>
          <w:lang w:val="fr-FR"/>
        </w:rPr>
      </w:pPr>
    </w:p>
    <w:p w14:paraId="25FCB3F1" w14:textId="77777777" w:rsidR="00EC60C7" w:rsidRDefault="00EC60C7">
      <w:pPr>
        <w:rPr>
          <w:lang w:val="fr-FR"/>
        </w:rPr>
      </w:pPr>
    </w:p>
    <w:p w14:paraId="30335E9B" w14:textId="77777777" w:rsidR="00EC60C7" w:rsidRDefault="00EC60C7">
      <w:pPr>
        <w:rPr>
          <w:lang w:val="fr-FR"/>
        </w:rPr>
      </w:pPr>
    </w:p>
    <w:p w14:paraId="37B5A2ED" w14:textId="77777777" w:rsidR="00EC60C7" w:rsidRDefault="00EC60C7">
      <w:pPr>
        <w:rPr>
          <w:lang w:val="fr-FR"/>
        </w:rPr>
      </w:pPr>
    </w:p>
    <w:p w14:paraId="050E55E0" w14:textId="77777777" w:rsidR="00A943CC" w:rsidRPr="00F65BE2" w:rsidRDefault="00A943CC" w:rsidP="00A943CC">
      <w:pPr>
        <w:jc w:val="center"/>
        <w:rPr>
          <w:b/>
          <w:bCs/>
          <w:sz w:val="40"/>
          <w:szCs w:val="40"/>
          <w:u w:val="single"/>
          <w:lang w:val="fr-FR"/>
        </w:rPr>
      </w:pPr>
      <w:r w:rsidRPr="00F65BE2">
        <w:rPr>
          <w:b/>
          <w:bCs/>
          <w:sz w:val="40"/>
          <w:szCs w:val="40"/>
          <w:u w:val="single"/>
          <w:lang w:val="fr-FR"/>
        </w:rPr>
        <w:t>Évolutions : CA, nombre d’achats et projection</w:t>
      </w:r>
    </w:p>
    <w:p w14:paraId="07E52A59" w14:textId="690BBC60" w:rsidR="002D3FB6" w:rsidRPr="00A943CC" w:rsidRDefault="00A943CC" w:rsidP="00A943CC">
      <w:pPr>
        <w:jc w:val="center"/>
        <w:rPr>
          <w:b/>
          <w:bCs/>
          <w:sz w:val="30"/>
          <w:szCs w:val="30"/>
          <w:lang w:val="fr-FR"/>
        </w:rPr>
      </w:pPr>
      <w:r>
        <w:rPr>
          <w:lang w:val="fr-FR"/>
        </w:rPr>
        <w:t>(</w:t>
      </w:r>
      <w:r w:rsidR="00C819A0">
        <w:rPr>
          <w:lang w:val="fr-FR"/>
        </w:rPr>
        <w:t>CA</w:t>
      </w:r>
      <w:r>
        <w:rPr>
          <w:lang w:val="fr-FR"/>
        </w:rPr>
        <w:t xml:space="preserve"> </w:t>
      </w:r>
      <w:r w:rsidR="00C819A0" w:rsidRPr="00A943CC">
        <w:rPr>
          <w:lang w:val="fr-FR"/>
        </w:rPr>
        <w:t xml:space="preserve">nombre d’achats des </w:t>
      </w:r>
      <w:r w:rsidR="003867E9" w:rsidRPr="00A943CC">
        <w:rPr>
          <w:lang w:val="fr-FR"/>
        </w:rPr>
        <w:t>clients</w:t>
      </w:r>
      <w:r w:rsidR="003867E9">
        <w:rPr>
          <w:b/>
          <w:bCs/>
          <w:sz w:val="30"/>
          <w:szCs w:val="30"/>
          <w:lang w:val="fr-FR"/>
        </w:rPr>
        <w:t>,</w:t>
      </w:r>
      <w:r w:rsidR="003867E9" w:rsidRPr="00A943CC">
        <w:rPr>
          <w:lang w:val="fr-FR"/>
        </w:rPr>
        <w:t xml:space="preserve"> L’évolution</w:t>
      </w:r>
      <w:r w:rsidR="002707E8" w:rsidRPr="00A943CC">
        <w:rPr>
          <w:lang w:val="fr-FR"/>
        </w:rPr>
        <w:t xml:space="preserve"> du chiffre d’affaires dans les prochains mois.</w:t>
      </w:r>
      <w:r w:rsidRPr="00A943CC">
        <w:rPr>
          <w:lang w:val="fr-FR"/>
        </w:rPr>
        <w:t>)</w:t>
      </w:r>
    </w:p>
    <w:p w14:paraId="77EC6165" w14:textId="77777777" w:rsidR="002D3FB6" w:rsidRDefault="002D3FB6" w:rsidP="002D3FB6">
      <w:pPr>
        <w:pStyle w:val="ListParagraph"/>
        <w:rPr>
          <w:lang w:val="fr-FR"/>
        </w:rPr>
      </w:pPr>
    </w:p>
    <w:p w14:paraId="24556708" w14:textId="54EC351A" w:rsidR="00076BBE" w:rsidRDefault="00076BBE" w:rsidP="002D3FB6">
      <w:pPr>
        <w:pStyle w:val="ListParagraph"/>
        <w:rPr>
          <w:lang w:val="fr-FR"/>
        </w:rPr>
      </w:pPr>
      <w:r>
        <w:rPr>
          <w:noProof/>
        </w:rPr>
        <w:drawing>
          <wp:inline distT="0" distB="0" distL="0" distR="0" wp14:anchorId="4E5BD522" wp14:editId="45A07786">
            <wp:extent cx="4937965" cy="3047365"/>
            <wp:effectExtent l="0" t="0" r="0" b="635"/>
            <wp:docPr id="1834282886" name="Picture 5" descr="A graph with a green line and a blue lin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82886" name="Picture 5" descr="A graph with a green line and a blue line">
                      <a:extLst>
                        <a:ext uri="{C183D7F6-B498-43B3-948B-1728B52AA6E4}">
                          <adec:decorative xmlns:adec="http://schemas.microsoft.com/office/drawing/2017/decorative" val="0"/>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6894" cy="3077561"/>
                    </a:xfrm>
                    <a:prstGeom prst="rect">
                      <a:avLst/>
                    </a:prstGeom>
                    <a:noFill/>
                    <a:ln>
                      <a:noFill/>
                    </a:ln>
                  </pic:spPr>
                </pic:pic>
              </a:graphicData>
            </a:graphic>
          </wp:inline>
        </w:drawing>
      </w:r>
    </w:p>
    <w:p w14:paraId="465A4F4E" w14:textId="3F7C13E1" w:rsidR="002D3FB6" w:rsidRDefault="00A943CC" w:rsidP="002D3FB6">
      <w:pPr>
        <w:pStyle w:val="ListParagraph"/>
        <w:rPr>
          <w:lang w:val="fr-FR"/>
        </w:rPr>
      </w:pPr>
      <w:r w:rsidRPr="00A943CC">
        <w:rPr>
          <w:lang w:val="fr-FR"/>
        </w:rPr>
        <w:t>CA et nombre d’achats montrent une hausse marquée depuis le lancement de la filière nourriture ; malgré une baisse ponctuelle liée au retrait du High Tech, la tendance des derniers mois permet une projection positive à court terme.</w:t>
      </w:r>
    </w:p>
    <w:p w14:paraId="79EA180B" w14:textId="77777777" w:rsidR="00A943CC" w:rsidRDefault="00A943CC" w:rsidP="002D3FB6">
      <w:pPr>
        <w:pStyle w:val="ListParagraph"/>
        <w:rPr>
          <w:lang w:val="fr-FR"/>
        </w:rPr>
      </w:pPr>
    </w:p>
    <w:p w14:paraId="0D763FF9" w14:textId="37106416" w:rsidR="00A943CC" w:rsidRPr="00A943CC" w:rsidRDefault="00A943CC" w:rsidP="002D3FB6">
      <w:pPr>
        <w:pStyle w:val="ListParagraph"/>
        <w:rPr>
          <w:lang w:val="fr-FR"/>
        </w:rPr>
      </w:pPr>
      <w:r>
        <w:rPr>
          <w:lang w:val="fr-FR"/>
        </w:rPr>
        <w:t xml:space="preserve">Note : </w:t>
      </w:r>
      <w:r w:rsidRPr="00A943CC">
        <w:rPr>
          <w:lang w:val="fr-FR"/>
        </w:rPr>
        <w:t>J’ai tracé la tendance et une projection conservatrice basée sur la croissance moyenne mensuelle récente. La projection montre un redressement progressif du CA si les tendances récentes se maintiennent. À noter : la projection doit être mise à jour si une action commerciale significative est lancée.</w:t>
      </w:r>
    </w:p>
    <w:p w14:paraId="3D2EB26C" w14:textId="77777777" w:rsidR="00A943CC" w:rsidRDefault="00A943CC" w:rsidP="00A943CC">
      <w:pPr>
        <w:pStyle w:val="ListParagraph"/>
        <w:rPr>
          <w:lang w:val="fr-FR"/>
        </w:rPr>
      </w:pPr>
    </w:p>
    <w:p w14:paraId="0F4B144D" w14:textId="0E6D5F47" w:rsidR="002D3FB6" w:rsidRPr="00A943CC" w:rsidRDefault="002D3FB6" w:rsidP="002D3FB6">
      <w:pPr>
        <w:pStyle w:val="ListParagraph"/>
        <w:rPr>
          <w:lang w:val="fr-FR"/>
        </w:rPr>
      </w:pPr>
      <w:r>
        <w:rPr>
          <w:lang w:val="fr-FR"/>
        </w:rPr>
        <w:t xml:space="preserve">Conclusion : </w:t>
      </w:r>
      <w:r w:rsidR="00A943CC" w:rsidRPr="00A943CC">
        <w:rPr>
          <w:lang w:val="fr-FR"/>
        </w:rPr>
        <w:t>La trajectoire est haussière à moyen terme ; la projection valide un redressement progressif du CA.</w:t>
      </w:r>
    </w:p>
    <w:p w14:paraId="65DC5F87" w14:textId="77777777" w:rsidR="002D3FB6" w:rsidRDefault="002D3FB6" w:rsidP="002D3FB6">
      <w:pPr>
        <w:pStyle w:val="ListParagraph"/>
        <w:rPr>
          <w:lang w:val="fr-FR"/>
        </w:rPr>
      </w:pPr>
    </w:p>
    <w:p w14:paraId="79E33DD9" w14:textId="77777777" w:rsidR="00A943CC" w:rsidRDefault="00A943CC" w:rsidP="00A943CC">
      <w:pPr>
        <w:rPr>
          <w:lang w:val="fr-FR"/>
        </w:rPr>
      </w:pPr>
    </w:p>
    <w:p w14:paraId="0302B013" w14:textId="77777777" w:rsidR="00A943CC" w:rsidRDefault="00A943CC" w:rsidP="00A943CC">
      <w:pPr>
        <w:rPr>
          <w:lang w:val="fr-FR"/>
        </w:rPr>
      </w:pPr>
    </w:p>
    <w:p w14:paraId="65D505E8" w14:textId="38507E1B" w:rsidR="00A943CC" w:rsidRPr="00F65BE2" w:rsidRDefault="00A943CC" w:rsidP="00A943CC">
      <w:pPr>
        <w:jc w:val="center"/>
        <w:rPr>
          <w:b/>
          <w:bCs/>
          <w:sz w:val="40"/>
          <w:szCs w:val="40"/>
          <w:u w:val="single"/>
          <w:lang w:val="fr-FR"/>
        </w:rPr>
      </w:pPr>
      <w:r w:rsidRPr="00F65BE2">
        <w:rPr>
          <w:b/>
          <w:bCs/>
          <w:sz w:val="40"/>
          <w:szCs w:val="40"/>
          <w:u w:val="single"/>
          <w:lang w:val="fr-FR"/>
        </w:rPr>
        <w:t>Trafic &amp; conversion : visites et ratio achats/visites</w:t>
      </w:r>
    </w:p>
    <w:p w14:paraId="755C6AB8" w14:textId="42D4B517" w:rsidR="00ED04C3" w:rsidRDefault="00A943CC" w:rsidP="00A943CC">
      <w:pPr>
        <w:rPr>
          <w:lang w:val="fr-FR"/>
        </w:rPr>
      </w:pPr>
      <w:r>
        <w:rPr>
          <w:lang w:val="fr-FR"/>
        </w:rPr>
        <w:t>(</w:t>
      </w:r>
      <w:r w:rsidR="00C819A0" w:rsidRPr="00C819A0">
        <w:rPr>
          <w:lang w:val="fr-FR"/>
        </w:rPr>
        <w:t xml:space="preserve"> ratio (nombre d’achats des clients)/(nombre de visites) au cours du temps</w:t>
      </w:r>
      <w:r>
        <w:rPr>
          <w:lang w:val="fr-FR"/>
        </w:rPr>
        <w:t xml:space="preserve">, </w:t>
      </w:r>
      <w:r w:rsidR="00C819A0" w:rsidRPr="00C819A0">
        <w:rPr>
          <w:lang w:val="fr-FR"/>
        </w:rPr>
        <w:t>nombre de visites sur le site web au cours du temps ; </w:t>
      </w:r>
      <w:r>
        <w:rPr>
          <w:lang w:val="fr-FR"/>
        </w:rPr>
        <w:t>)</w:t>
      </w:r>
      <w:r w:rsidR="00076BBE">
        <w:rPr>
          <w:noProof/>
        </w:rPr>
        <w:drawing>
          <wp:inline distT="0" distB="0" distL="0" distR="0" wp14:anchorId="6C7470CE" wp14:editId="6A58FCCD">
            <wp:extent cx="4853940" cy="4101286"/>
            <wp:effectExtent l="0" t="0" r="3810" b="0"/>
            <wp:docPr id="1931012099" name="Picture 6" descr="A graph with a green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12099" name="Picture 6" descr="A graph with a green line and a blue li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8978" cy="4122441"/>
                    </a:xfrm>
                    <a:prstGeom prst="rect">
                      <a:avLst/>
                    </a:prstGeom>
                    <a:noFill/>
                    <a:ln>
                      <a:noFill/>
                    </a:ln>
                  </pic:spPr>
                </pic:pic>
              </a:graphicData>
            </a:graphic>
          </wp:inline>
        </w:drawing>
      </w:r>
    </w:p>
    <w:p w14:paraId="696D29EA" w14:textId="446A8663" w:rsidR="003867E9" w:rsidRDefault="003867E9" w:rsidP="00C819A0">
      <w:pPr>
        <w:rPr>
          <w:lang w:val="fr-FR"/>
        </w:rPr>
      </w:pPr>
      <w:r w:rsidRPr="003867E9">
        <w:rPr>
          <w:b/>
          <w:bCs/>
          <w:lang w:val="fr-FR"/>
        </w:rPr>
        <w:t>Visites vs Taux de conversion</w:t>
      </w:r>
      <w:r w:rsidRPr="003867E9">
        <w:rPr>
          <w:lang w:val="fr-FR"/>
        </w:rPr>
        <w:t xml:space="preserve"> — Le trafic connaît une hausse depuis le pivot vers la nourriture ; le ratio achats/visites suit une dynamique différente, créant aujourd’hui un écart (gap) entre visites et ventes.</w:t>
      </w:r>
    </w:p>
    <w:p w14:paraId="5B686AFB" w14:textId="6DD35842" w:rsidR="003867E9" w:rsidRPr="003867E9" w:rsidRDefault="003867E9" w:rsidP="00C819A0">
      <w:pPr>
        <w:rPr>
          <w:lang w:val="fr-FR"/>
        </w:rPr>
      </w:pPr>
      <w:r>
        <w:rPr>
          <w:lang w:val="fr-FR"/>
        </w:rPr>
        <w:t xml:space="preserve">Note : </w:t>
      </w:r>
      <w:r w:rsidRPr="003867E9">
        <w:rPr>
          <w:lang w:val="fr-FR"/>
        </w:rPr>
        <w:t>L’écart entre visites et ventes indique une marge d’optimisation du tunnel : soit on augmente la conversion via offres, soit on améliore la qualité du trafic (meilleur ciblage). Recommandation immédiate : tests A/B sur le parcours d’achat et offres ciblées pour visiteurs 0–4 min.</w:t>
      </w:r>
    </w:p>
    <w:p w14:paraId="70440174" w14:textId="77777777" w:rsidR="00F65BE2" w:rsidRDefault="00F65BE2" w:rsidP="00C819A0">
      <w:pPr>
        <w:rPr>
          <w:b/>
          <w:bCs/>
          <w:lang w:val="fr-FR"/>
        </w:rPr>
      </w:pPr>
    </w:p>
    <w:p w14:paraId="0C49AD2D" w14:textId="7BF8AE55" w:rsidR="00F65BE2" w:rsidRPr="00F65BE2" w:rsidRDefault="00F31320" w:rsidP="00F65BE2">
      <w:pPr>
        <w:jc w:val="center"/>
        <w:rPr>
          <w:sz w:val="40"/>
          <w:szCs w:val="40"/>
          <w:u w:val="single"/>
          <w:lang w:val="fr-FR"/>
        </w:rPr>
      </w:pPr>
      <w:r w:rsidRPr="00F65BE2">
        <w:rPr>
          <w:b/>
          <w:bCs/>
          <w:sz w:val="40"/>
          <w:szCs w:val="40"/>
          <w:u w:val="single"/>
          <w:lang w:val="fr-FR"/>
        </w:rPr>
        <w:lastRenderedPageBreak/>
        <w:t>Conclusion</w:t>
      </w:r>
    </w:p>
    <w:p w14:paraId="357846FD" w14:textId="055987F3" w:rsidR="00C819A0" w:rsidRPr="003867E9" w:rsidRDefault="003867E9" w:rsidP="00C819A0">
      <w:pPr>
        <w:rPr>
          <w:lang w:val="fr-FR"/>
        </w:rPr>
      </w:pPr>
      <w:r w:rsidRPr="003867E9">
        <w:rPr>
          <w:lang w:val="fr-FR"/>
        </w:rPr>
        <w:t>Le trafic augmente, la conversion est perfectible,</w:t>
      </w:r>
      <w:r>
        <w:rPr>
          <w:lang w:val="fr-FR"/>
        </w:rPr>
        <w:t xml:space="preserve"> </w:t>
      </w:r>
      <w:r w:rsidRPr="003867E9">
        <w:rPr>
          <w:lang w:val="fr-FR"/>
        </w:rPr>
        <w:t>travailler l’activation (first click → achat) = levier prioritaire.</w:t>
      </w:r>
    </w:p>
    <w:p w14:paraId="072D9E7A" w14:textId="77777777" w:rsidR="00C819A0" w:rsidRDefault="00C819A0" w:rsidP="00C819A0">
      <w:pPr>
        <w:rPr>
          <w:lang w:val="fr-FR"/>
        </w:rPr>
      </w:pPr>
    </w:p>
    <w:p w14:paraId="5C9D683A" w14:textId="77777777" w:rsidR="00ED04C3" w:rsidRPr="00C819A0" w:rsidRDefault="00ED04C3" w:rsidP="00C819A0">
      <w:pPr>
        <w:rPr>
          <w:lang w:val="fr-FR"/>
        </w:rPr>
      </w:pPr>
    </w:p>
    <w:p w14:paraId="3C94FCEF" w14:textId="77777777" w:rsidR="00C819A0" w:rsidRPr="00C819A0" w:rsidRDefault="00C819A0">
      <w:pPr>
        <w:rPr>
          <w:lang w:val="fr-FR"/>
        </w:rPr>
      </w:pPr>
    </w:p>
    <w:sectPr w:rsidR="00C819A0" w:rsidRPr="00C819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D3FEE" w14:textId="77777777" w:rsidR="00B936BA" w:rsidRDefault="00B936BA" w:rsidP="002D3FB6">
      <w:pPr>
        <w:spacing w:after="0" w:line="240" w:lineRule="auto"/>
      </w:pPr>
      <w:r>
        <w:separator/>
      </w:r>
    </w:p>
  </w:endnote>
  <w:endnote w:type="continuationSeparator" w:id="0">
    <w:p w14:paraId="14D3CAD8" w14:textId="77777777" w:rsidR="00B936BA" w:rsidRDefault="00B936BA" w:rsidP="002D3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56EB9" w14:textId="77777777" w:rsidR="00B936BA" w:rsidRDefault="00B936BA" w:rsidP="002D3FB6">
      <w:pPr>
        <w:spacing w:after="0" w:line="240" w:lineRule="auto"/>
      </w:pPr>
      <w:r>
        <w:separator/>
      </w:r>
    </w:p>
  </w:footnote>
  <w:footnote w:type="continuationSeparator" w:id="0">
    <w:p w14:paraId="545BFE81" w14:textId="77777777" w:rsidR="00B936BA" w:rsidRDefault="00B936BA" w:rsidP="002D3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7D6E"/>
    <w:multiLevelType w:val="multilevel"/>
    <w:tmpl w:val="7A24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B5C81"/>
    <w:multiLevelType w:val="multilevel"/>
    <w:tmpl w:val="802EE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0D5A7E"/>
    <w:multiLevelType w:val="multilevel"/>
    <w:tmpl w:val="C14E5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727666">
    <w:abstractNumId w:val="1"/>
  </w:num>
  <w:num w:numId="2" w16cid:durableId="430979443">
    <w:abstractNumId w:val="2"/>
  </w:num>
  <w:num w:numId="3" w16cid:durableId="101189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9A0"/>
    <w:rsid w:val="00076BBE"/>
    <w:rsid w:val="00191017"/>
    <w:rsid w:val="001A3AB3"/>
    <w:rsid w:val="00262731"/>
    <w:rsid w:val="002707E8"/>
    <w:rsid w:val="002A224E"/>
    <w:rsid w:val="002D3FB6"/>
    <w:rsid w:val="002E26C1"/>
    <w:rsid w:val="003265E1"/>
    <w:rsid w:val="003343A5"/>
    <w:rsid w:val="0037116C"/>
    <w:rsid w:val="003867E9"/>
    <w:rsid w:val="00500656"/>
    <w:rsid w:val="0058021E"/>
    <w:rsid w:val="006636C1"/>
    <w:rsid w:val="007D4AB6"/>
    <w:rsid w:val="00A943CC"/>
    <w:rsid w:val="00B069AD"/>
    <w:rsid w:val="00B457DC"/>
    <w:rsid w:val="00B936BA"/>
    <w:rsid w:val="00C819A0"/>
    <w:rsid w:val="00DA343E"/>
    <w:rsid w:val="00EC60C7"/>
    <w:rsid w:val="00ED04C3"/>
    <w:rsid w:val="00F31320"/>
    <w:rsid w:val="00F65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39AEF"/>
  <w15:chartTrackingRefBased/>
  <w15:docId w15:val="{41E304D2-A3EE-4FB5-A689-BA80624A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9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9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9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9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9A0"/>
    <w:rPr>
      <w:rFonts w:eastAsiaTheme="majorEastAsia" w:cstheme="majorBidi"/>
      <w:color w:val="272727" w:themeColor="text1" w:themeTint="D8"/>
    </w:rPr>
  </w:style>
  <w:style w:type="paragraph" w:styleId="Title">
    <w:name w:val="Title"/>
    <w:basedOn w:val="Normal"/>
    <w:next w:val="Normal"/>
    <w:link w:val="TitleChar"/>
    <w:uiPriority w:val="10"/>
    <w:qFormat/>
    <w:rsid w:val="00C81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9A0"/>
    <w:pPr>
      <w:spacing w:before="160"/>
      <w:jc w:val="center"/>
    </w:pPr>
    <w:rPr>
      <w:i/>
      <w:iCs/>
      <w:color w:val="404040" w:themeColor="text1" w:themeTint="BF"/>
    </w:rPr>
  </w:style>
  <w:style w:type="character" w:customStyle="1" w:styleId="QuoteChar">
    <w:name w:val="Quote Char"/>
    <w:basedOn w:val="DefaultParagraphFont"/>
    <w:link w:val="Quote"/>
    <w:uiPriority w:val="29"/>
    <w:rsid w:val="00C819A0"/>
    <w:rPr>
      <w:i/>
      <w:iCs/>
      <w:color w:val="404040" w:themeColor="text1" w:themeTint="BF"/>
    </w:rPr>
  </w:style>
  <w:style w:type="paragraph" w:styleId="ListParagraph">
    <w:name w:val="List Paragraph"/>
    <w:basedOn w:val="Normal"/>
    <w:uiPriority w:val="34"/>
    <w:qFormat/>
    <w:rsid w:val="00C819A0"/>
    <w:pPr>
      <w:ind w:left="720"/>
      <w:contextualSpacing/>
    </w:pPr>
  </w:style>
  <w:style w:type="character" w:styleId="IntenseEmphasis">
    <w:name w:val="Intense Emphasis"/>
    <w:basedOn w:val="DefaultParagraphFont"/>
    <w:uiPriority w:val="21"/>
    <w:qFormat/>
    <w:rsid w:val="00C819A0"/>
    <w:rPr>
      <w:i/>
      <w:iCs/>
      <w:color w:val="0F4761" w:themeColor="accent1" w:themeShade="BF"/>
    </w:rPr>
  </w:style>
  <w:style w:type="paragraph" w:styleId="IntenseQuote">
    <w:name w:val="Intense Quote"/>
    <w:basedOn w:val="Normal"/>
    <w:next w:val="Normal"/>
    <w:link w:val="IntenseQuoteChar"/>
    <w:uiPriority w:val="30"/>
    <w:qFormat/>
    <w:rsid w:val="00C81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9A0"/>
    <w:rPr>
      <w:i/>
      <w:iCs/>
      <w:color w:val="0F4761" w:themeColor="accent1" w:themeShade="BF"/>
    </w:rPr>
  </w:style>
  <w:style w:type="character" w:styleId="IntenseReference">
    <w:name w:val="Intense Reference"/>
    <w:basedOn w:val="DefaultParagraphFont"/>
    <w:uiPriority w:val="32"/>
    <w:qFormat/>
    <w:rsid w:val="00C819A0"/>
    <w:rPr>
      <w:b/>
      <w:bCs/>
      <w:smallCaps/>
      <w:color w:val="0F4761" w:themeColor="accent1" w:themeShade="BF"/>
      <w:spacing w:val="5"/>
    </w:rPr>
  </w:style>
  <w:style w:type="paragraph" w:styleId="Header">
    <w:name w:val="header"/>
    <w:basedOn w:val="Normal"/>
    <w:link w:val="HeaderChar"/>
    <w:uiPriority w:val="99"/>
    <w:unhideWhenUsed/>
    <w:rsid w:val="002D3F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3FB6"/>
  </w:style>
  <w:style w:type="paragraph" w:styleId="Footer">
    <w:name w:val="footer"/>
    <w:basedOn w:val="Normal"/>
    <w:link w:val="FooterChar"/>
    <w:uiPriority w:val="99"/>
    <w:unhideWhenUsed/>
    <w:rsid w:val="002D3F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F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1717</TotalTime>
  <Pages>5</Pages>
  <Words>525</Words>
  <Characters>2891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lucien nzeutom</dc:creator>
  <cp:keywords/>
  <dc:description/>
  <cp:lastModifiedBy>lucien nzeutom</cp:lastModifiedBy>
  <cp:revision>6</cp:revision>
  <dcterms:created xsi:type="dcterms:W3CDTF">2025-12-25T06:23:00Z</dcterms:created>
  <dcterms:modified xsi:type="dcterms:W3CDTF">2026-01-09T23:14:00Z</dcterms:modified>
</cp:coreProperties>
</file>