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957F4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Add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New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Pr="0085203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“Add new 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New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DB1E38">
              <w:rPr>
                <w:rFonts w:ascii="Cambria" w:hAnsi="Cambria"/>
                <w:sz w:val="24"/>
                <w:szCs w:val="24"/>
              </w:rPr>
              <w:t>added to “Criterion”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screen.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DB1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Clicks on “Add new 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>Create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AB3BAD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Pr="00A81678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 w:rsidRPr="003340F3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340F3" w:rsidRPr="003340F3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(dialog?)</w:t>
                  </w:r>
                  <w:r w:rsidRPr="003340F3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422CB2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d system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new criterion 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[Exceptions 1, 2, </w:t>
                  </w:r>
                  <w:r w:rsidRPr="003340F3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3, 4</w:t>
                  </w:r>
                  <w:r w:rsidRPr="003340F3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Pr="003340F3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box</w:t>
                  </w:r>
                  <w:r w:rsidRPr="003340F3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3340F3" w:rsidRPr="003340F3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(dialog)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31081E"/>
    <w:rsid w:val="003340F3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8178C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53EF"/>
    <w:rsid w:val="007B5E77"/>
    <w:rsid w:val="007C2B9F"/>
    <w:rsid w:val="007D5578"/>
    <w:rsid w:val="00801A4A"/>
    <w:rsid w:val="0085203F"/>
    <w:rsid w:val="0085770F"/>
    <w:rsid w:val="00880B4A"/>
    <w:rsid w:val="008C2B88"/>
    <w:rsid w:val="00957F4E"/>
    <w:rsid w:val="00985DC2"/>
    <w:rsid w:val="009B1352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139DD"/>
    <w:rsid w:val="00B20378"/>
    <w:rsid w:val="00B37009"/>
    <w:rsid w:val="00B4542D"/>
    <w:rsid w:val="00B86885"/>
    <w:rsid w:val="00B91C0C"/>
    <w:rsid w:val="00B96DA1"/>
    <w:rsid w:val="00BA4608"/>
    <w:rsid w:val="00BB3B72"/>
    <w:rsid w:val="00C4048A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B44A9-248D-4292-802B-23D6CBB2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16</cp:revision>
  <dcterms:created xsi:type="dcterms:W3CDTF">2015-06-02T16:16:00Z</dcterms:created>
  <dcterms:modified xsi:type="dcterms:W3CDTF">2015-06-03T03:17:00Z</dcterms:modified>
</cp:coreProperties>
</file>