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</w:t>
      </w:r>
      <w:r w:rsidR="0059490A">
        <w:rPr>
          <w:rFonts w:ascii="Cambria" w:hAnsi="Cambria"/>
        </w:rPr>
        <w:t>period evaluation</w:t>
      </w:r>
    </w:p>
    <w:p w:rsidR="00422CB2" w:rsidRPr="00A81678" w:rsidRDefault="0059490A">
      <w:pPr>
        <w:rPr>
          <w:rFonts w:ascii="Cambria" w:hAnsi="Cambria"/>
        </w:rPr>
      </w:pPr>
      <w:r w:rsidRPr="0059490A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43600" cy="179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64021D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4021D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64021D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75018"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79553F">
              <w:rPr>
                <w:rFonts w:ascii="Cambria" w:hAnsi="Cambria"/>
                <w:sz w:val="24"/>
                <w:szCs w:val="24"/>
              </w:rPr>
              <w:t>evaluation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1878E3">
              <w:rPr>
                <w:rFonts w:ascii="Cambria" w:hAnsi="Cambria"/>
                <w:sz w:val="24"/>
                <w:szCs w:val="24"/>
              </w:rPr>
              <w:t xml:space="preserve">Period </w:t>
            </w:r>
            <w:r w:rsidR="00906E65">
              <w:rPr>
                <w:rFonts w:ascii="Cambria" w:hAnsi="Cambria"/>
                <w:sz w:val="24"/>
                <w:szCs w:val="24"/>
              </w:rPr>
              <w:t>Evaluation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elected </w:t>
            </w:r>
            <w:r w:rsidR="00877275">
              <w:rPr>
                <w:rFonts w:ascii="Cambria" w:hAnsi="Cambria"/>
                <w:sz w:val="24"/>
                <w:szCs w:val="24"/>
              </w:rPr>
              <w:t>period evaluation</w:t>
            </w:r>
            <w:r w:rsidR="003B0DDF">
              <w:rPr>
                <w:rFonts w:ascii="Cambria" w:hAnsi="Cambria"/>
                <w:sz w:val="24"/>
                <w:szCs w:val="24"/>
              </w:rPr>
              <w:t xml:space="preserve"> information is changed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194404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194404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12403D" w:rsidRPr="00A81678" w:rsidRDefault="00422CB2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12403D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  <w:r w:rsidR="0012403D"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12403D" w:rsidRPr="0012403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Pr="00A81678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Pr="00A81678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9704D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39704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“Close”: button. </w:t>
                  </w:r>
                </w:p>
                <w:p w:rsidR="007907D4" w:rsidRPr="00A81678" w:rsidRDefault="007907D4" w:rsidP="0033712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C218B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”, “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”, “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, “Submit date</w:t>
                  </w:r>
                  <w:r w:rsidR="00633BA3">
                    <w:rPr>
                      <w:rFonts w:ascii="Cambria" w:hAnsi="Cambria"/>
                      <w:sz w:val="24"/>
                      <w:szCs w:val="24"/>
                    </w:rPr>
                    <w:t>” and “Close</w:t>
                  </w:r>
                  <w:r w:rsidR="00337121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date</w:t>
                  </w:r>
                  <w:r w:rsidR="0033712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D5220E">
                    <w:rPr>
                      <w:rFonts w:ascii="Cambria" w:hAnsi="Cambria"/>
                      <w:sz w:val="24"/>
                      <w:szCs w:val="24"/>
                    </w:rPr>
                    <w:t xml:space="preserve"> contain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E71100">
                    <w:rPr>
                      <w:rFonts w:ascii="Cambria" w:hAnsi="Cambria"/>
                      <w:sz w:val="24"/>
                      <w:szCs w:val="24"/>
                    </w:rPr>
                    <w:t>origin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 w:rsidR="00865275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5E1934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916BEF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916BEF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DB0C83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 S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ystem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D422AA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</w:t>
                  </w:r>
                  <w:r w:rsidR="00D3777E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2, 3</w:t>
                  </w:r>
                  <w:r w:rsidR="005E1934">
                    <w:rPr>
                      <w:rFonts w:ascii="Cambria" w:hAnsi="Cambria"/>
                      <w:sz w:val="24"/>
                      <w:szCs w:val="24"/>
                    </w:rPr>
                    <w:t>, 4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CF0ADC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  <w:bookmarkStart w:id="0" w:name="_GoBack"/>
                  <w:bookmarkEnd w:id="0"/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8F73C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C43543">
                    <w:rPr>
                      <w:rFonts w:ascii="Cambria" w:hAnsi="Cambria"/>
                      <w:sz w:val="24"/>
                      <w:szCs w:val="24"/>
                    </w:rPr>
                    <w:t>dia</w:t>
                  </w:r>
                  <w:r w:rsidR="008F73C6">
                    <w:rPr>
                      <w:rFonts w:ascii="Cambria" w:hAnsi="Cambria"/>
                      <w:sz w:val="24"/>
                      <w:szCs w:val="24"/>
                    </w:rPr>
                    <w:t>log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540"/>
              <w:gridCol w:w="3552"/>
              <w:gridCol w:w="4692"/>
            </w:tblGrid>
            <w:tr w:rsidR="005009A9" w:rsidRPr="00A81678" w:rsidTr="00AD4311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09A9" w:rsidRPr="00A81678" w:rsidRDefault="005009A9" w:rsidP="005009A9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 must be later than 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“Submit date” is sooner than “End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 must be later than 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“Close date” is sooner than “Submit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 must be later than 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086DC2" w:rsidRDefault="00343D69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Start date must be create date or later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086DC2" w:rsidRPr="00A17DAA" w:rsidRDefault="00086DC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trike/>
                <w:sz w:val="24"/>
                <w:szCs w:val="24"/>
              </w:rPr>
            </w:pPr>
            <w:r w:rsidRPr="00A17DAA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lastRenderedPageBreak/>
              <w:t xml:space="preserve">Only </w:t>
            </w:r>
            <w:r w:rsidR="00541FD9" w:rsidRPr="00A17DAA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 xml:space="preserve">period </w:t>
            </w:r>
            <w:proofErr w:type="gramStart"/>
            <w:r w:rsidR="00541FD9" w:rsidRPr="00A17DAA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>evaluation</w:t>
            </w:r>
            <w:r w:rsidRPr="00A17DAA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 xml:space="preserve"> that are</w:t>
            </w:r>
            <w:proofErr w:type="gramEnd"/>
            <w:r w:rsidRPr="00A17DAA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 xml:space="preserve"> created within 3 days can be edited.</w:t>
            </w:r>
          </w:p>
          <w:p w:rsidR="003C63F5" w:rsidRPr="00A81678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2403D"/>
    <w:rsid w:val="00164252"/>
    <w:rsid w:val="00176765"/>
    <w:rsid w:val="00181DDF"/>
    <w:rsid w:val="001878E3"/>
    <w:rsid w:val="00194404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37121"/>
    <w:rsid w:val="00343D69"/>
    <w:rsid w:val="0034788D"/>
    <w:rsid w:val="00357EE4"/>
    <w:rsid w:val="00371E29"/>
    <w:rsid w:val="00372DBF"/>
    <w:rsid w:val="003737C9"/>
    <w:rsid w:val="00375018"/>
    <w:rsid w:val="0039704D"/>
    <w:rsid w:val="003A12C7"/>
    <w:rsid w:val="003B0DDF"/>
    <w:rsid w:val="003C09C9"/>
    <w:rsid w:val="003C218B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09A9"/>
    <w:rsid w:val="00504252"/>
    <w:rsid w:val="00511F99"/>
    <w:rsid w:val="005273C2"/>
    <w:rsid w:val="00541FD9"/>
    <w:rsid w:val="00550E2E"/>
    <w:rsid w:val="005800AE"/>
    <w:rsid w:val="0058178C"/>
    <w:rsid w:val="0059490A"/>
    <w:rsid w:val="005C51C9"/>
    <w:rsid w:val="005D7D62"/>
    <w:rsid w:val="005E07CF"/>
    <w:rsid w:val="005E1934"/>
    <w:rsid w:val="005E3645"/>
    <w:rsid w:val="005E7661"/>
    <w:rsid w:val="005F1C59"/>
    <w:rsid w:val="00606995"/>
    <w:rsid w:val="00613A30"/>
    <w:rsid w:val="00625551"/>
    <w:rsid w:val="00633BA3"/>
    <w:rsid w:val="0064021D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9553F"/>
    <w:rsid w:val="007A565D"/>
    <w:rsid w:val="007B53EF"/>
    <w:rsid w:val="007B5E77"/>
    <w:rsid w:val="007C2B9F"/>
    <w:rsid w:val="007D5578"/>
    <w:rsid w:val="00801A4A"/>
    <w:rsid w:val="0085770F"/>
    <w:rsid w:val="00865275"/>
    <w:rsid w:val="00877275"/>
    <w:rsid w:val="00880B4A"/>
    <w:rsid w:val="008C0C68"/>
    <w:rsid w:val="008C2B88"/>
    <w:rsid w:val="008F73C6"/>
    <w:rsid w:val="00906E65"/>
    <w:rsid w:val="00916BEF"/>
    <w:rsid w:val="00957F4E"/>
    <w:rsid w:val="00982CB2"/>
    <w:rsid w:val="00985DC2"/>
    <w:rsid w:val="009B1352"/>
    <w:rsid w:val="009D1E43"/>
    <w:rsid w:val="009E020D"/>
    <w:rsid w:val="00A002A1"/>
    <w:rsid w:val="00A17DAA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3543"/>
    <w:rsid w:val="00CA4DDE"/>
    <w:rsid w:val="00CE7479"/>
    <w:rsid w:val="00CF0ADC"/>
    <w:rsid w:val="00D24C14"/>
    <w:rsid w:val="00D3777E"/>
    <w:rsid w:val="00D422AA"/>
    <w:rsid w:val="00D5220E"/>
    <w:rsid w:val="00D62398"/>
    <w:rsid w:val="00D63374"/>
    <w:rsid w:val="00D90399"/>
    <w:rsid w:val="00D94D4C"/>
    <w:rsid w:val="00DB0C83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71100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29</cp:revision>
  <dcterms:created xsi:type="dcterms:W3CDTF">2015-06-07T04:55:00Z</dcterms:created>
  <dcterms:modified xsi:type="dcterms:W3CDTF">2015-06-07T23:32:00Z</dcterms:modified>
</cp:coreProperties>
</file>