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b/>
          <w:color w:val="C96D2D"/>
          <w:sz w:val="22"/>
        </w:rPr>
        <w:t>GDD-00</w:t>
      </w:r>
    </w:p>
    <w:p>
      <w:pPr>
        <w:pStyle w:val="Title"/>
      </w:pPr>
      <w:r>
        <w:t>Product Foundation and Design Status</w:t>
      </w:r>
    </w:p>
    <w:p>
      <w:pPr>
        <w:pStyle w:val="Subtitle"/>
      </w:pPr>
      <w:r>
        <w:t>Standalone production module for the cooperative multiplayer game design</w:t>
      </w:r>
    </w:p>
    <w:tbl>
      <w:tblPr>
        <w:tblStyle w:val="TableGrid"/>
        <w:tblW w:type="auto" w:w="0"/>
        <w:jc w:val="center"/>
        <w:tblLook w:firstColumn="1" w:firstRow="1" w:lastColumn="0" w:lastRow="0" w:noHBand="0" w:noVBand="1" w:val="04A0"/>
      </w:tblPr>
      <w:tblGrid>
        <w:gridCol w:w="4968"/>
        <w:gridCol w:w="4968"/>
      </w:tblGrid>
      <w:tr>
        <w:tc>
          <w:tcPr>
            <w:tcW w:type="dxa" w:w="4968"/>
            <w:shd w:fill="E8EEF2"/>
          </w:tcPr>
          <w:p>
            <w:pPr>
              <w:spacing w:after="0"/>
            </w:pPr>
            <w:r>
              <w:rPr>
                <w:b/>
                <w:color w:val="162735"/>
              </w:rPr>
              <w:t>Module owner</w:t>
            </w:r>
          </w:p>
        </w:tc>
        <w:tc>
          <w:tcPr>
            <w:tcW w:type="dxa" w:w="4968"/>
          </w:tcPr>
          <w:p>
            <w:pPr>
              <w:spacing w:after="0"/>
            </w:pPr>
            <w:r>
              <w:t>Creative Director / Design Lead</w:t>
            </w:r>
          </w:p>
        </w:tc>
      </w:tr>
      <w:tr>
        <w:tc>
          <w:tcPr>
            <w:tcW w:type="dxa" w:w="4968"/>
            <w:shd w:fill="E8EEF2"/>
          </w:tcPr>
          <w:p>
            <w:pPr>
              <w:spacing w:after="0"/>
            </w:pPr>
            <w:r>
              <w:rPr>
                <w:b/>
                <w:color w:val="162735"/>
              </w:rPr>
              <w:t>Depends on</w:t>
            </w:r>
          </w:p>
        </w:tc>
        <w:tc>
          <w:tcPr>
            <w:tcW w:type="dxa" w:w="4968"/>
          </w:tcPr>
          <w:p>
            <w:pPr>
              <w:spacing w:after="0"/>
            </w:pPr>
            <w:r>
              <w:t>None</w:t>
            </w:r>
          </w:p>
        </w:tc>
      </w:tr>
      <w:tr>
        <w:tc>
          <w:tcPr>
            <w:tcW w:type="dxa" w:w="4968"/>
            <w:shd w:fill="E8EEF2"/>
          </w:tcPr>
          <w:p>
            <w:pPr>
              <w:spacing w:after="0"/>
            </w:pPr>
            <w:r>
              <w:rPr>
                <w:b/>
                <w:color w:val="162735"/>
              </w:rPr>
              <w:t>Publishes</w:t>
            </w:r>
          </w:p>
        </w:tc>
        <w:tc>
          <w:tcPr>
            <w:tcW w:type="dxa" w:w="4968"/>
          </w:tcPr>
          <w:p>
            <w:pPr>
              <w:spacing w:after="0"/>
            </w:pPr>
            <w:r>
              <w:t>Product definition, status language, pillars, target audience, global constraints</w:t>
            </w:r>
          </w:p>
        </w:tc>
      </w:tr>
      <w:tr>
        <w:tc>
          <w:tcPr>
            <w:tcW w:type="dxa" w:w="4968"/>
            <w:shd w:fill="E8EEF2"/>
          </w:tcPr>
          <w:p>
            <w:pPr>
              <w:spacing w:after="0"/>
            </w:pPr>
            <w:r>
              <w:rPr>
                <w:b/>
                <w:color w:val="162735"/>
              </w:rPr>
              <w:t>Change rule</w:t>
            </w:r>
          </w:p>
        </w:tc>
        <w:tc>
          <w:tcPr>
            <w:tcW w:type="dxa" w:w="4968"/>
          </w:tcPr>
          <w:p>
            <w:pPr>
              <w:spacing w:after="0"/>
            </w:pPr>
            <w:r>
              <w:t>Update this module first, then review every listed consumer in the master index.</w:t>
            </w:r>
          </w:p>
        </w:tc>
      </w:tr>
    </w:tbl>
    <w:p/>
    <w:p>
      <w:pPr>
        <w:pStyle w:val="Heading1"/>
        <w:keepNext/>
      </w:pPr>
      <w:r>
        <w:t>Module Boundary Contract</w:t>
      </w:r>
    </w:p>
    <w:p>
      <w:pPr>
        <w:pStyle w:val="ListBullet"/>
      </w:pPr>
      <w:r>
        <w:t>This file may be assigned, reviewed, versioned, or replaced independently.</w:t>
      </w:r>
    </w:p>
    <w:p>
      <w:pPr>
        <w:pStyle w:val="ListBullet"/>
      </w:pPr>
      <w:r>
        <w:t>Terms and IDs published by this module are interfaces; downstream modules consume them without redefining them.</w:t>
      </w:r>
    </w:p>
    <w:p>
      <w:pPr>
        <w:pStyle w:val="ListBullet"/>
      </w:pPr>
      <w:r>
        <w:t>Cross-module changes require an impact review against the master dependency register.</w:t>
      </w:r>
    </w:p>
    <w:p>
      <w:pPr>
        <w:pStyle w:val="ListBullet"/>
      </w:pPr>
      <w:r>
        <w:t>Implementation values remain tunable unless explicitly identified as a persistence, objective, asset-path, or network contract.</w:t>
      </w:r>
    </w:p>
    <w:p>
      <w:pPr>
        <w:pStyle w:val="Heading1"/>
      </w:pPr>
      <w:r>
        <w:t>Design Specification</w:t>
      </w:r>
    </w:p>
    <w:p>
      <w:r>
        <w:t>This document defines the intended player experience, production boundaries, core systems, content model, and measurable quality targets for Broken Horizon. It is grounded in the current Unreal Engine 5.8 project and its Operation First Light vertical slice. It separates implemented foundations from proposed product-level direction so design, engineering, art, audio, and QA can use one shared baseline.</w:t>
      </w:r>
    </w:p>
    <w:tbl>
      <w:tblPr>
        <w:tblW w:type="auto" w:w="0"/>
        <w:jc w:val="center"/>
        <w:tblLayout w:type="fixed"/>
        <w:tblLook w:firstColumn="1" w:firstRow="1" w:lastColumn="0" w:lastRow="0" w:noHBand="0" w:noVBand="1" w:val="04A0"/>
      </w:tblPr>
      <w:tblGrid>
        <w:gridCol w:w="9936"/>
      </w:tblGrid>
      <w:tr>
        <w:tc>
          <w:tcPr>
            <w:tcW w:type="dxa" w:w="9720"/>
            <w:shd w:fill="E8EEF2"/>
            <w:tcMar>
              <w:top w:w="150" w:type="dxa"/>
              <w:start w:w="180" w:type="dxa"/>
              <w:bottom w:w="150" w:type="dxa"/>
              <w:end w:w="180" w:type="dxa"/>
            </w:tcMar>
          </w:tcPr>
          <w:p>
            <w:pPr>
              <w:spacing w:after="40"/>
            </w:pPr>
            <w:r>
              <w:rPr>
                <w:b/>
                <w:color w:val="C96D2D"/>
              </w:rPr>
              <w:t xml:space="preserve">DESIGN THESIS  </w:t>
            </w:r>
            <w:r>
              <w:rPr>
                <w:color w:val="162735"/>
              </w:rPr>
              <w:t>Every firefight is local, but its consequences travel. The player wins by reading terrain, preserving combat effectiveness, and influencing a war that continues beyond a single mission.</w:t>
            </w:r>
          </w:p>
        </w:tc>
      </w:tr>
    </w:tbl>
    <w:p>
      <w:pPr>
        <w:spacing w:after="0"/>
      </w:pP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162735"/>
            <w:vAlign w:val="center"/>
            <w:tcMar>
              <w:top w:w="90" w:type="dxa"/>
              <w:start w:w="110" w:type="dxa"/>
              <w:bottom w:w="90" w:type="dxa"/>
              <w:end w:w="110" w:type="dxa"/>
            </w:tcMar>
          </w:tcPr>
          <w:p>
            <w:r>
              <w:rPr>
                <w:b/>
                <w:color w:val="FFFFFF"/>
                <w:sz w:val="18"/>
              </w:rPr>
              <w:t>Status</w:t>
            </w:r>
          </w:p>
        </w:tc>
        <w:tc>
          <w:tcPr>
            <w:tcW w:type="dxa" w:w="3672"/>
            <w:shd w:fill="162735"/>
            <w:vAlign w:val="center"/>
            <w:tcMar>
              <w:top w:w="90" w:type="dxa"/>
              <w:start w:w="110" w:type="dxa"/>
              <w:bottom w:w="90" w:type="dxa"/>
              <w:end w:w="110" w:type="dxa"/>
            </w:tcMar>
          </w:tcPr>
          <w:p>
            <w:r>
              <w:rPr>
                <w:b/>
                <w:color w:val="FFFFFF"/>
                <w:sz w:val="18"/>
              </w:rPr>
              <w:t>Meaning</w:t>
            </w:r>
          </w:p>
        </w:tc>
        <w:tc>
          <w:tcPr>
            <w:tcW w:type="dxa" w:w="4104"/>
            <w:shd w:fill="162735"/>
            <w:vAlign w:val="center"/>
            <w:tcMar>
              <w:top w:w="90" w:type="dxa"/>
              <w:start w:w="110" w:type="dxa"/>
              <w:bottom w:w="90" w:type="dxa"/>
              <w:end w:w="110" w:type="dxa"/>
            </w:tcMar>
          </w:tcPr>
          <w:p>
            <w:r>
              <w:rPr>
                <w:b/>
                <w:color w:val="FFFFFF"/>
                <w:sz w:val="18"/>
              </w:rPr>
              <w:t>GDD treatment</w:t>
            </w:r>
          </w:p>
        </w:tc>
      </w:tr>
      <w:tr>
        <w:tc>
          <w:tcPr>
            <w:tcW w:type="dxa" w:w="1944"/>
            <w:vAlign w:val="top"/>
            <w:tcMar>
              <w:top w:w="90" w:type="dxa"/>
              <w:start w:w="110" w:type="dxa"/>
              <w:bottom w:w="90" w:type="dxa"/>
              <w:end w:w="110" w:type="dxa"/>
            </w:tcMar>
          </w:tcPr>
          <w:p>
            <w:pPr>
              <w:spacing w:after="0"/>
            </w:pPr>
            <w:r>
              <w:rPr>
                <w:sz w:val="18"/>
              </w:rPr>
              <w:t>Implemented foundation</w:t>
            </w:r>
          </w:p>
        </w:tc>
        <w:tc>
          <w:tcPr>
            <w:tcW w:type="dxa" w:w="3672"/>
            <w:vAlign w:val="top"/>
            <w:tcMar>
              <w:top w:w="90" w:type="dxa"/>
              <w:start w:w="110" w:type="dxa"/>
              <w:bottom w:w="90" w:type="dxa"/>
              <w:end w:w="110" w:type="dxa"/>
            </w:tcMar>
          </w:tcPr>
          <w:p>
            <w:pPr>
              <w:spacing w:after="0"/>
            </w:pPr>
            <w:r>
              <w:rPr>
                <w:sz w:val="18"/>
              </w:rPr>
              <w:t>Source-backed gameplay or project configuration exists.</w:t>
            </w:r>
          </w:p>
        </w:tc>
        <w:tc>
          <w:tcPr>
            <w:tcW w:type="dxa" w:w="4104"/>
            <w:vAlign w:val="top"/>
            <w:tcMar>
              <w:top w:w="90" w:type="dxa"/>
              <w:start w:w="110" w:type="dxa"/>
              <w:bottom w:w="90" w:type="dxa"/>
              <w:end w:w="110" w:type="dxa"/>
            </w:tcMar>
          </w:tcPr>
          <w:p>
            <w:pPr>
              <w:spacing w:after="0"/>
            </w:pPr>
            <w:r>
              <w:rPr>
                <w:sz w:val="18"/>
              </w:rPr>
              <w:t>Specified as the current baseline; tuning remains subject to playtest.</w:t>
            </w:r>
          </w:p>
        </w:tc>
      </w:tr>
      <w:tr>
        <w:tc>
          <w:tcPr>
            <w:tcW w:type="dxa" w:w="1944"/>
            <w:shd w:fill="F4F6F7"/>
            <w:vAlign w:val="top"/>
            <w:tcMar>
              <w:top w:w="90" w:type="dxa"/>
              <w:start w:w="110" w:type="dxa"/>
              <w:bottom w:w="90" w:type="dxa"/>
              <w:end w:w="110" w:type="dxa"/>
            </w:tcMar>
          </w:tcPr>
          <w:p>
            <w:pPr>
              <w:spacing w:after="0"/>
            </w:pPr>
            <w:r>
              <w:rPr>
                <w:sz w:val="18"/>
              </w:rPr>
              <w:t>Partially implemented</w:t>
            </w:r>
          </w:p>
        </w:tc>
        <w:tc>
          <w:tcPr>
            <w:tcW w:type="dxa" w:w="3672"/>
            <w:shd w:fill="F4F6F7"/>
            <w:vAlign w:val="top"/>
            <w:tcMar>
              <w:top w:w="90" w:type="dxa"/>
              <w:start w:w="110" w:type="dxa"/>
              <w:bottom w:w="90" w:type="dxa"/>
              <w:end w:w="110" w:type="dxa"/>
            </w:tcMar>
          </w:tcPr>
          <w:p>
            <w:pPr>
              <w:spacing w:after="0"/>
            </w:pPr>
            <w:r>
              <w:rPr>
                <w:sz w:val="18"/>
              </w:rPr>
              <w:t>The core system exists, but breadth, presentation, or content coverage is incomplete.</w:t>
            </w:r>
          </w:p>
        </w:tc>
        <w:tc>
          <w:tcPr>
            <w:tcW w:type="dxa" w:w="4104"/>
            <w:shd w:fill="F4F6F7"/>
            <w:vAlign w:val="top"/>
            <w:tcMar>
              <w:top w:w="90" w:type="dxa"/>
              <w:start w:w="110" w:type="dxa"/>
              <w:bottom w:w="90" w:type="dxa"/>
              <w:end w:w="110" w:type="dxa"/>
            </w:tcMar>
          </w:tcPr>
          <w:p>
            <w:pPr>
              <w:spacing w:after="0"/>
            </w:pPr>
            <w:r>
              <w:rPr>
                <w:sz w:val="18"/>
              </w:rPr>
              <w:t>Defined with a production-ready target state.</w:t>
            </w:r>
          </w:p>
        </w:tc>
      </w:tr>
      <w:tr>
        <w:tc>
          <w:tcPr>
            <w:tcW w:type="dxa" w:w="1944"/>
            <w:vAlign w:val="top"/>
            <w:tcMar>
              <w:top w:w="90" w:type="dxa"/>
              <w:start w:w="110" w:type="dxa"/>
              <w:bottom w:w="90" w:type="dxa"/>
              <w:end w:w="110" w:type="dxa"/>
            </w:tcMar>
          </w:tcPr>
          <w:p>
            <w:pPr>
              <w:spacing w:after="0"/>
            </w:pPr>
            <w:r>
              <w:rPr>
                <w:sz w:val="18"/>
              </w:rPr>
              <w:t>Proposed</w:t>
            </w:r>
          </w:p>
        </w:tc>
        <w:tc>
          <w:tcPr>
            <w:tcW w:type="dxa" w:w="3672"/>
            <w:vAlign w:val="top"/>
            <w:tcMar>
              <w:top w:w="90" w:type="dxa"/>
              <w:start w:w="110" w:type="dxa"/>
              <w:bottom w:w="90" w:type="dxa"/>
              <w:end w:w="110" w:type="dxa"/>
            </w:tcMar>
          </w:tcPr>
          <w:p>
            <w:pPr>
              <w:spacing w:after="0"/>
            </w:pPr>
            <w:r>
              <w:rPr>
                <w:sz w:val="18"/>
              </w:rPr>
              <w:t>A coherent extension of the current architecture, not yet proven in the build.</w:t>
            </w:r>
          </w:p>
        </w:tc>
        <w:tc>
          <w:tcPr>
            <w:tcW w:type="dxa" w:w="4104"/>
            <w:vAlign w:val="top"/>
            <w:tcMar>
              <w:top w:w="90" w:type="dxa"/>
              <w:start w:w="110" w:type="dxa"/>
              <w:bottom w:w="90" w:type="dxa"/>
              <w:end w:w="110" w:type="dxa"/>
            </w:tcMar>
          </w:tcPr>
          <w:p>
            <w:pPr>
              <w:spacing w:after="0"/>
            </w:pPr>
            <w:r>
              <w:rPr>
                <w:sz w:val="18"/>
              </w:rPr>
              <w:t>Explicitly framed as a target or decision.</w:t>
            </w:r>
          </w:p>
        </w:tc>
      </w:tr>
    </w:tbl>
    <w:p>
      <w:pPr>
        <w:spacing w:after="0"/>
      </w:pPr>
    </w:p>
    <w:p>
      <w:pPr>
        <w:pStyle w:val="Heading2"/>
      </w:pPr>
      <w:r>
        <w:t>Product Snapshot</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088"/>
            <w:shd w:fill="162735"/>
            <w:vAlign w:val="center"/>
            <w:tcMar>
              <w:top w:w="90" w:type="dxa"/>
              <w:start w:w="110" w:type="dxa"/>
              <w:bottom w:w="90" w:type="dxa"/>
              <w:end w:w="110" w:type="dxa"/>
            </w:tcMar>
          </w:tcPr>
          <w:p>
            <w:r>
              <w:rPr>
                <w:b/>
                <w:color w:val="FFFFFF"/>
                <w:sz w:val="18"/>
              </w:rPr>
              <w:t>Dimension</w:t>
            </w:r>
          </w:p>
        </w:tc>
        <w:tc>
          <w:tcPr>
            <w:tcW w:type="dxa" w:w="7632"/>
            <w:shd w:fill="162735"/>
            <w:vAlign w:val="center"/>
            <w:tcMar>
              <w:top w:w="90" w:type="dxa"/>
              <w:start w:w="110" w:type="dxa"/>
              <w:bottom w:w="90" w:type="dxa"/>
              <w:end w:w="110" w:type="dxa"/>
            </w:tcMar>
          </w:tcPr>
          <w:p>
            <w:r>
              <w:rPr>
                <w:b/>
                <w:color w:val="FFFFFF"/>
                <w:sz w:val="18"/>
              </w:rPr>
              <w:t>Direction</w:t>
            </w:r>
          </w:p>
        </w:tc>
      </w:tr>
      <w:tr>
        <w:tc>
          <w:tcPr>
            <w:tcW w:type="dxa" w:w="2088"/>
            <w:vAlign w:val="top"/>
            <w:tcMar>
              <w:top w:w="90" w:type="dxa"/>
              <w:start w:w="110" w:type="dxa"/>
              <w:bottom w:w="90" w:type="dxa"/>
              <w:end w:w="110" w:type="dxa"/>
            </w:tcMar>
          </w:tcPr>
          <w:p>
            <w:pPr>
              <w:spacing w:after="0"/>
            </w:pPr>
            <w:r>
              <w:rPr>
                <w:sz w:val="18"/>
              </w:rPr>
              <w:t>Genre</w:t>
            </w:r>
          </w:p>
        </w:tc>
        <w:tc>
          <w:tcPr>
            <w:tcW w:type="dxa" w:w="7632"/>
            <w:vAlign w:val="top"/>
            <w:tcMar>
              <w:top w:w="90" w:type="dxa"/>
              <w:start w:w="110" w:type="dxa"/>
              <w:bottom w:w="90" w:type="dxa"/>
              <w:end w:w="110" w:type="dxa"/>
            </w:tcMar>
          </w:tcPr>
          <w:p>
            <w:pPr>
              <w:spacing w:after="0"/>
            </w:pPr>
            <w:r>
              <w:rPr>
                <w:sz w:val="18"/>
              </w:rPr>
              <w:t>Cooperative multiplayer tactical first-person shooter with a shared persistent strategic simulation.</w:t>
            </w:r>
          </w:p>
        </w:tc>
      </w:tr>
      <w:tr>
        <w:tc>
          <w:tcPr>
            <w:tcW w:type="dxa" w:w="2088"/>
            <w:shd w:fill="F4F6F7"/>
            <w:vAlign w:val="top"/>
            <w:tcMar>
              <w:top w:w="90" w:type="dxa"/>
              <w:start w:w="110" w:type="dxa"/>
              <w:bottom w:w="90" w:type="dxa"/>
              <w:end w:w="110" w:type="dxa"/>
            </w:tcMar>
          </w:tcPr>
          <w:p>
            <w:pPr>
              <w:spacing w:after="0"/>
            </w:pPr>
            <w:r>
              <w:rPr>
                <w:sz w:val="18"/>
              </w:rPr>
              <w:t>Setting</w:t>
            </w:r>
          </w:p>
        </w:tc>
        <w:tc>
          <w:tcPr>
            <w:tcW w:type="dxa" w:w="7632"/>
            <w:shd w:fill="F4F6F7"/>
            <w:vAlign w:val="top"/>
            <w:tcMar>
              <w:top w:w="90" w:type="dxa"/>
              <w:start w:w="110" w:type="dxa"/>
              <w:bottom w:w="90" w:type="dxa"/>
              <w:end w:w="110" w:type="dxa"/>
            </w:tcMar>
          </w:tcPr>
          <w:p>
            <w:pPr>
              <w:spacing w:after="0"/>
            </w:pPr>
            <w:r>
              <w:rPr>
                <w:sz w:val="18"/>
              </w:rPr>
              <w:t>Fictional near-future Eastern European mountain region; cold, wet, politically unbranded, materially believable.</w:t>
            </w:r>
          </w:p>
        </w:tc>
      </w:tr>
      <w:tr>
        <w:tc>
          <w:tcPr>
            <w:tcW w:type="dxa" w:w="2088"/>
            <w:vAlign w:val="top"/>
            <w:tcMar>
              <w:top w:w="90" w:type="dxa"/>
              <w:start w:w="110" w:type="dxa"/>
              <w:bottom w:w="90" w:type="dxa"/>
              <w:end w:w="110" w:type="dxa"/>
            </w:tcMar>
          </w:tcPr>
          <w:p>
            <w:pPr>
              <w:spacing w:after="0"/>
            </w:pPr>
            <w:r>
              <w:rPr>
                <w:sz w:val="18"/>
              </w:rPr>
              <w:t>Platform</w:t>
            </w:r>
          </w:p>
        </w:tc>
        <w:tc>
          <w:tcPr>
            <w:tcW w:type="dxa" w:w="7632"/>
            <w:vAlign w:val="top"/>
            <w:tcMar>
              <w:top w:w="90" w:type="dxa"/>
              <w:start w:w="110" w:type="dxa"/>
              <w:bottom w:w="90" w:type="dxa"/>
              <w:end w:w="110" w:type="dxa"/>
            </w:tcMar>
          </w:tcPr>
          <w:p>
            <w:pPr>
              <w:spacing w:after="0"/>
            </w:pPr>
            <w:r>
              <w:rPr>
                <w:sz w:val="18"/>
              </w:rPr>
              <w:t>Networked PC-first; controller support, dedicated/listen-server compatibility, and scalable rendering are requirements. Console is a later feasibility gate.</w:t>
            </w:r>
          </w:p>
        </w:tc>
      </w:tr>
      <w:tr>
        <w:tc>
          <w:tcPr>
            <w:tcW w:type="dxa" w:w="2088"/>
            <w:shd w:fill="F4F6F7"/>
            <w:vAlign w:val="top"/>
            <w:tcMar>
              <w:top w:w="90" w:type="dxa"/>
              <w:start w:w="110" w:type="dxa"/>
              <w:bottom w:w="90" w:type="dxa"/>
              <w:end w:w="110" w:type="dxa"/>
            </w:tcMar>
          </w:tcPr>
          <w:p>
            <w:pPr>
              <w:spacing w:after="0"/>
            </w:pPr>
            <w:r>
              <w:rPr>
                <w:sz w:val="18"/>
              </w:rPr>
              <w:t>Audience</w:t>
            </w:r>
          </w:p>
        </w:tc>
        <w:tc>
          <w:tcPr>
            <w:tcW w:type="dxa" w:w="7632"/>
            <w:shd w:fill="F4F6F7"/>
            <w:vAlign w:val="top"/>
            <w:tcMar>
              <w:top w:w="90" w:type="dxa"/>
              <w:start w:w="110" w:type="dxa"/>
              <w:bottom w:w="90" w:type="dxa"/>
              <w:end w:w="110" w:type="dxa"/>
            </w:tcMar>
          </w:tcPr>
          <w:p>
            <w:pPr>
              <w:spacing w:after="0"/>
            </w:pPr>
            <w:r>
              <w:rPr>
                <w:sz w:val="18"/>
              </w:rPr>
              <w:t>Squads that value coordination, readable lethality, deliberate movement, systemic missions, persistent consequences, and grounded military atmosphere.</w:t>
            </w:r>
          </w:p>
        </w:tc>
      </w:tr>
      <w:tr>
        <w:tc>
          <w:tcPr>
            <w:tcW w:type="dxa" w:w="2088"/>
            <w:vAlign w:val="top"/>
            <w:tcMar>
              <w:top w:w="90" w:type="dxa"/>
              <w:start w:w="110" w:type="dxa"/>
              <w:bottom w:w="90" w:type="dxa"/>
              <w:end w:w="110" w:type="dxa"/>
            </w:tcMar>
          </w:tcPr>
          <w:p>
            <w:pPr>
              <w:spacing w:after="0"/>
            </w:pPr>
            <w:r>
              <w:rPr>
                <w:sz w:val="18"/>
              </w:rPr>
              <w:t>Session</w:t>
            </w:r>
          </w:p>
        </w:tc>
        <w:tc>
          <w:tcPr>
            <w:tcW w:type="dxa" w:w="7632"/>
            <w:vAlign w:val="top"/>
            <w:tcMar>
              <w:top w:w="90" w:type="dxa"/>
              <w:start w:w="110" w:type="dxa"/>
              <w:bottom w:w="90" w:type="dxa"/>
              <w:end w:w="110" w:type="dxa"/>
            </w:tcMar>
          </w:tcPr>
          <w:p>
            <w:pPr>
              <w:spacing w:after="0"/>
            </w:pPr>
            <w:r>
              <w:rPr>
                <w:sz w:val="18"/>
              </w:rPr>
              <w:t>Squad-based network session; 20-45 minute operation or 60-120 minute extended campaign session. Exact supported player cap is a product decision.</w:t>
            </w:r>
          </w:p>
        </w:tc>
      </w:tr>
      <w:tr>
        <w:tc>
          <w:tcPr>
            <w:tcW w:type="dxa" w:w="2088"/>
            <w:shd w:fill="F4F6F7"/>
            <w:vAlign w:val="top"/>
            <w:tcMar>
              <w:top w:w="90" w:type="dxa"/>
              <w:start w:w="110" w:type="dxa"/>
              <w:bottom w:w="90" w:type="dxa"/>
              <w:end w:w="110" w:type="dxa"/>
            </w:tcMar>
          </w:tcPr>
          <w:p>
            <w:pPr>
              <w:spacing w:after="0"/>
            </w:pPr>
            <w:r>
              <w:rPr>
                <w:sz w:val="18"/>
              </w:rPr>
              <w:t>Business model</w:t>
            </w:r>
          </w:p>
        </w:tc>
        <w:tc>
          <w:tcPr>
            <w:tcW w:type="dxa" w:w="7632"/>
            <w:shd w:fill="F4F6F7"/>
            <w:vAlign w:val="top"/>
            <w:tcMar>
              <w:top w:w="90" w:type="dxa"/>
              <w:start w:w="110" w:type="dxa"/>
              <w:bottom w:w="90" w:type="dxa"/>
              <w:end w:w="110" w:type="dxa"/>
            </w:tcMar>
          </w:tcPr>
          <w:p>
            <w:pPr>
              <w:spacing w:after="0"/>
            </w:pPr>
            <w:r>
              <w:rPr>
                <w:sz w:val="18"/>
              </w:rPr>
              <w:t>Premium boxed/digital game. No power monetization; no live-service dependency.</w:t>
            </w:r>
          </w:p>
        </w:tc>
      </w:tr>
    </w:tbl>
    <w:p>
      <w:pPr>
        <w:spacing w:after="0"/>
      </w:pPr>
    </w:p>
    <w:p>
      <w:pPr>
        <w:pStyle w:val="Heading2"/>
      </w:pPr>
      <w:r>
        <w:t>Table of Contents</w:t>
      </w:r>
    </w:p>
    <w:p>
      <w:pPr>
        <w:pStyle w:val="ListBullet"/>
      </w:pPr>
      <w:r>
        <w:t>1. Vision, pillars, and player fantasy</w:t>
      </w:r>
    </w:p>
    <w:p>
      <w:pPr>
        <w:pStyle w:val="ListBullet"/>
      </w:pPr>
      <w:r>
        <w:t>2. Core loop and campaign structure</w:t>
      </w:r>
    </w:p>
    <w:p>
      <w:pPr>
        <w:pStyle w:val="ListBullet"/>
      </w:pPr>
      <w:r>
        <w:t>3. Controls, movement, interaction, and combat</w:t>
      </w:r>
    </w:p>
    <w:p>
      <w:pPr>
        <w:pStyle w:val="ListBullet"/>
      </w:pPr>
      <w:r>
        <w:t>4. Health, injuries, equipment, and logistics</w:t>
      </w:r>
    </w:p>
    <w:p>
      <w:pPr>
        <w:pStyle w:val="ListBullet"/>
      </w:pPr>
      <w:r>
        <w:t>5. AI, factions, morale, and tactical command</w:t>
      </w:r>
    </w:p>
    <w:p>
      <w:pPr>
        <w:pStyle w:val="ListBullet"/>
      </w:pPr>
      <w:r>
        <w:t>6. Missions and Operation First Light</w:t>
      </w:r>
    </w:p>
    <w:p>
      <w:pPr>
        <w:pStyle w:val="ListBullet"/>
      </w:pPr>
      <w:r>
        <w:t>7. Persistent war, sectors, routes, and strategic map</w:t>
      </w:r>
    </w:p>
    <w:p>
      <w:pPr>
        <w:pStyle w:val="ListBullet"/>
      </w:pPr>
      <w:r>
        <w:t>8. World, level, art, and audio direction</w:t>
      </w:r>
    </w:p>
    <w:p>
      <w:pPr>
        <w:pStyle w:val="ListBullet"/>
      </w:pPr>
      <w:r>
        <w:t>9. UI/UX, onboarding, accessibility, and settings</w:t>
      </w:r>
    </w:p>
    <w:p>
      <w:pPr>
        <w:pStyle w:val="ListBullet"/>
      </w:pPr>
      <w:r>
        <w:t>10. Progression, difficulty, economy, and balance</w:t>
      </w:r>
    </w:p>
    <w:p>
      <w:pPr>
        <w:pStyle w:val="ListBullet"/>
      </w:pPr>
      <w:r>
        <w:t>11. Technical architecture, content pipeline, analytics, and QA</w:t>
      </w:r>
    </w:p>
    <w:p>
      <w:pPr>
        <w:pStyle w:val="ListBullet"/>
      </w:pPr>
      <w:r>
        <w:t>12. Production scope, roadmap, risks, and acceptance criteria</w:t>
      </w:r>
    </w:p>
    <w:p>
      <w:pPr>
        <w:pStyle w:val="Heading1"/>
      </w:pPr>
      <w:r>
        <w:t>Module Exit Checklist</w:t>
      </w:r>
    </w:p>
    <w:p>
      <w:pPr>
        <w:pStyle w:val="ListBullet"/>
      </w:pPr>
      <w:r>
        <w:t>The module can be read without another file to understand its owned decisions.</w:t>
      </w:r>
    </w:p>
    <w:p>
      <w:pPr>
        <w:pStyle w:val="ListBullet"/>
      </w:pPr>
      <w:r>
        <w:t>Every external dependency is named in the header and not silently duplicated.</w:t>
      </w:r>
    </w:p>
    <w:p>
      <w:pPr>
        <w:pStyle w:val="ListBullet"/>
      </w:pPr>
      <w:r>
        <w:t>Every published interface uses stable terminology consistent with the master index.</w:t>
      </w:r>
    </w:p>
    <w:p>
      <w:pPr>
        <w:pStyle w:val="ListBullet"/>
      </w:pPr>
      <w:r>
        <w:t>Multiplayer authority, replication, reconnect, and persistence implications are addressed where relevant.</w:t>
      </w:r>
    </w:p>
    <w:p>
      <w:pPr>
        <w:pStyle w:val="ListBullet"/>
      </w:pPr>
      <w:r>
        <w:t>Acceptance criteria are testable and assignable to a discipline.</w:t>
      </w:r>
    </w:p>
    <w:p>
      <w:pPr>
        <w:pStyle w:val="ListBullet"/>
      </w:pPr>
      <w:r>
        <w:t>Changes to objective IDs, persistence IDs, reflected names, paths, or save fields include a consumer audit.</w:t>
      </w:r>
    </w:p>
    <w:p>
      <w:pPr>
        <w:spacing w:before="200"/>
      </w:pPr>
      <w:r>
        <w:rPr>
          <w:b/>
          <w:color w:val="35566E"/>
        </w:rPr>
        <w:t>End of GDD-00  /  Product Foundation and Design Status</w:t>
      </w:r>
    </w:p>
    <w:sectPr w:rsidR="00FC693F" w:rsidRPr="0006063C" w:rsidSect="00034616">
      <w:headerReference w:type="default" r:id="rId9"/>
      <w:footerReference w:type="default" r:id="rId10"/>
      <w:pgSz w:w="12240" w:h="15840"/>
      <w:pgMar w:top="1080"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C76"/>
        <w:sz w:val="16"/>
      </w:rPr>
      <w:t xml:space="preserve">VERSION 1.1  |  29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Aptos" w:hAnsi="Aptos"/>
        <w:b/>
        <w:color w:val="5E6C76"/>
        <w:sz w:val="16"/>
      </w:rPr>
      <w:t>BROKEN HORIZON  /  MODULAR GDD  /  GDD-00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20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62735"/>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35566E"/>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C96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273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5E6C7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Broken Horizon GDD-00 - Product Foundation and Design Status</dc:title>
  <dc:subject>Separable modular game design document</dc:subject>
  <dc:creator>Broken Horizon Development Team</dc:creator>
  <cp:keywords>Broken Horizon, GDD, tactical FPS, persistent war, Unreal Engine</cp:keywords>
  <dc:description>generated by python-docx</dc:description>
  <cp:lastModifiedBy/>
  <cp:revision>1</cp:revision>
  <dcterms:created xsi:type="dcterms:W3CDTF">2013-12-23T23:15:00Z</dcterms:created>
  <dcterms:modified xsi:type="dcterms:W3CDTF">2013-12-23T23:15:00Z</dcterms:modified>
  <cp:category/>
</cp:coreProperties>
</file>