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pPr>
      <w:r>
        <w:rPr>
          <w:b/>
          <w:color w:val="C96D2D"/>
          <w:sz w:val="22"/>
        </w:rPr>
        <w:t>GDD-02</w:t>
      </w:r>
    </w:p>
    <w:p>
      <w:pPr>
        <w:pStyle w:val="Title"/>
      </w:pPr>
      <w:r>
        <w:t>Multiplayer Session, Core Loop, and Campaign</w:t>
      </w:r>
    </w:p>
    <w:p>
      <w:pPr>
        <w:pStyle w:val="Subtitle"/>
      </w:pPr>
      <w:r>
        <w:t>Standalone production module for the cooperative multiplayer game design</w:t>
      </w:r>
    </w:p>
    <w:tbl>
      <w:tblPr>
        <w:tblStyle w:val="TableGrid"/>
        <w:tblW w:type="auto" w:w="0"/>
        <w:jc w:val="center"/>
        <w:tblLook w:firstColumn="1" w:firstRow="1" w:lastColumn="0" w:lastRow="0" w:noHBand="0" w:noVBand="1" w:val="04A0"/>
      </w:tblPr>
      <w:tblGrid>
        <w:gridCol w:w="4968"/>
        <w:gridCol w:w="4968"/>
      </w:tblGrid>
      <w:tr>
        <w:tc>
          <w:tcPr>
            <w:tcW w:type="dxa" w:w="4968"/>
            <w:shd w:fill="E8EEF2"/>
          </w:tcPr>
          <w:p>
            <w:pPr>
              <w:spacing w:after="0"/>
            </w:pPr>
            <w:r>
              <w:rPr>
                <w:b/>
                <w:color w:val="162735"/>
              </w:rPr>
              <w:t>Module owner</w:t>
            </w:r>
          </w:p>
        </w:tc>
        <w:tc>
          <w:tcPr>
            <w:tcW w:type="dxa" w:w="4968"/>
          </w:tcPr>
          <w:p>
            <w:pPr>
              <w:spacing w:after="0"/>
            </w:pPr>
            <w:r>
              <w:t>Lead Game Designer / Network Lead</w:t>
            </w:r>
          </w:p>
        </w:tc>
      </w:tr>
      <w:tr>
        <w:tc>
          <w:tcPr>
            <w:tcW w:type="dxa" w:w="4968"/>
            <w:shd w:fill="E8EEF2"/>
          </w:tcPr>
          <w:p>
            <w:pPr>
              <w:spacing w:after="0"/>
            </w:pPr>
            <w:r>
              <w:rPr>
                <w:b/>
                <w:color w:val="162735"/>
              </w:rPr>
              <w:t>Depends on</w:t>
            </w:r>
          </w:p>
        </w:tc>
        <w:tc>
          <w:tcPr>
            <w:tcW w:type="dxa" w:w="4968"/>
          </w:tcPr>
          <w:p>
            <w:pPr>
              <w:spacing w:after="0"/>
            </w:pPr>
            <w:r>
              <w:t>GDD-00, GDD-01</w:t>
            </w:r>
          </w:p>
        </w:tc>
      </w:tr>
      <w:tr>
        <w:tc>
          <w:tcPr>
            <w:tcW w:type="dxa" w:w="4968"/>
            <w:shd w:fill="E8EEF2"/>
          </w:tcPr>
          <w:p>
            <w:pPr>
              <w:spacing w:after="0"/>
            </w:pPr>
            <w:r>
              <w:rPr>
                <w:b/>
                <w:color w:val="162735"/>
              </w:rPr>
              <w:t>Publishes</w:t>
            </w:r>
          </w:p>
        </w:tc>
        <w:tc>
          <w:tcPr>
            <w:tcW w:type="dxa" w:w="4968"/>
          </w:tcPr>
          <w:p>
            <w:pPr>
              <w:spacing w:after="0"/>
            </w:pPr>
            <w:r>
              <w:t>Authority model, session lifecycle, loops, campaign states, failure/respawn policy</w:t>
            </w:r>
          </w:p>
        </w:tc>
      </w:tr>
      <w:tr>
        <w:tc>
          <w:tcPr>
            <w:tcW w:type="dxa" w:w="4968"/>
            <w:shd w:fill="E8EEF2"/>
          </w:tcPr>
          <w:p>
            <w:pPr>
              <w:spacing w:after="0"/>
            </w:pPr>
            <w:r>
              <w:rPr>
                <w:b/>
                <w:color w:val="162735"/>
              </w:rPr>
              <w:t>Change rule</w:t>
            </w:r>
          </w:p>
        </w:tc>
        <w:tc>
          <w:tcPr>
            <w:tcW w:type="dxa" w:w="4968"/>
          </w:tcPr>
          <w:p>
            <w:pPr>
              <w:spacing w:after="0"/>
            </w:pPr>
            <w:r>
              <w:t>Update this module first, then review every listed consumer in the master index.</w:t>
            </w:r>
          </w:p>
        </w:tc>
      </w:tr>
    </w:tbl>
    <w:p/>
    <w:p>
      <w:pPr>
        <w:pStyle w:val="Heading1"/>
        <w:keepNext/>
      </w:pPr>
      <w:r>
        <w:t>Module Boundary Contract</w:t>
      </w:r>
    </w:p>
    <w:p>
      <w:pPr>
        <w:pStyle w:val="ListBullet"/>
      </w:pPr>
      <w:r>
        <w:t>This file may be assigned, reviewed, versioned, or replaced independently.</w:t>
      </w:r>
    </w:p>
    <w:p>
      <w:pPr>
        <w:pStyle w:val="ListBullet"/>
      </w:pPr>
      <w:r>
        <w:t>Terms and IDs published by this module are interfaces; downstream modules consume them without redefining them.</w:t>
      </w:r>
    </w:p>
    <w:p>
      <w:pPr>
        <w:pStyle w:val="ListBullet"/>
      </w:pPr>
      <w:r>
        <w:t>Cross-module changes require an impact review against the master dependency register.</w:t>
      </w:r>
    </w:p>
    <w:p>
      <w:pPr>
        <w:pStyle w:val="ListBullet"/>
      </w:pPr>
      <w:r>
        <w:t>Implementation values remain tunable unless explicitly identified as a persistence, objective, asset-path, or network contract.</w:t>
      </w:r>
    </w:p>
    <w:p>
      <w:pPr>
        <w:pStyle w:val="Heading1"/>
      </w:pPr>
      <w:r>
        <w:t>Design Specification</w:t>
      </w:r>
    </w:p>
    <w:p>
      <w:pPr>
        <w:pStyle w:val="Heading2"/>
      </w:pPr>
      <w:r>
        <w:t>Multiplayer Session Model</w:t>
      </w:r>
    </w:p>
    <w:p>
      <w:r>
        <w:t>Broken Horizon is a cooperative multiplayer game. The server owns the authoritative war, operation, combat, transport, objective, and persistence state; connected clients receive replicated snapshots and presentation. Players join the same regional campaign, can converge on an active operation, and share its strategic consequences. AI field support complements the human squad but does not redefine the product as a single-player experience.</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376"/>
            <w:shd w:fill="162735"/>
            <w:vAlign w:val="center"/>
            <w:tcMar>
              <w:top w:w="90" w:type="dxa"/>
              <w:start w:w="110" w:type="dxa"/>
              <w:bottom w:w="90" w:type="dxa"/>
              <w:end w:w="110" w:type="dxa"/>
            </w:tcMar>
          </w:tcPr>
          <w:p>
            <w:r>
              <w:rPr>
                <w:b/>
                <w:color w:val="FFFFFF"/>
                <w:sz w:val="18"/>
              </w:rPr>
              <w:t>Concern</w:t>
            </w:r>
          </w:p>
        </w:tc>
        <w:tc>
          <w:tcPr>
            <w:tcW w:type="dxa" w:w="7344"/>
            <w:shd w:fill="162735"/>
            <w:vAlign w:val="center"/>
            <w:tcMar>
              <w:top w:w="90" w:type="dxa"/>
              <w:start w:w="110" w:type="dxa"/>
              <w:bottom w:w="90" w:type="dxa"/>
              <w:end w:w="110" w:type="dxa"/>
            </w:tcMar>
          </w:tcPr>
          <w:p>
            <w:r>
              <w:rPr>
                <w:b/>
                <w:color w:val="FFFFFF"/>
                <w:sz w:val="18"/>
              </w:rPr>
              <w:t>Design requirement</w:t>
            </w:r>
          </w:p>
        </w:tc>
      </w:tr>
      <w:tr>
        <w:tc>
          <w:tcPr>
            <w:tcW w:type="dxa" w:w="2376"/>
            <w:vAlign w:val="top"/>
            <w:tcMar>
              <w:top w:w="90" w:type="dxa"/>
              <w:start w:w="110" w:type="dxa"/>
              <w:bottom w:w="90" w:type="dxa"/>
              <w:end w:w="110" w:type="dxa"/>
            </w:tcMar>
          </w:tcPr>
          <w:p>
            <w:pPr>
              <w:spacing w:after="0"/>
            </w:pPr>
            <w:r>
              <w:rPr>
                <w:sz w:val="18"/>
              </w:rPr>
              <w:t>Authority</w:t>
            </w:r>
          </w:p>
        </w:tc>
        <w:tc>
          <w:tcPr>
            <w:tcW w:type="dxa" w:w="7344"/>
            <w:vAlign w:val="top"/>
            <w:tcMar>
              <w:top w:w="90" w:type="dxa"/>
              <w:start w:w="110" w:type="dxa"/>
              <w:bottom w:w="90" w:type="dxa"/>
              <w:end w:w="110" w:type="dxa"/>
            </w:tcMar>
          </w:tcPr>
          <w:p>
            <w:pPr>
              <w:spacing w:after="0"/>
            </w:pPr>
            <w:r>
              <w:rPr>
                <w:sz w:val="18"/>
              </w:rPr>
              <w:t>Host or dedicated server validates combat, interactions, transport use, commands, operation outcomes, and save writes.</w:t>
            </w:r>
          </w:p>
        </w:tc>
      </w:tr>
      <w:tr>
        <w:tc>
          <w:tcPr>
            <w:tcW w:type="dxa" w:w="2376"/>
            <w:shd w:fill="F4F6F7"/>
            <w:vAlign w:val="top"/>
            <w:tcMar>
              <w:top w:w="90" w:type="dxa"/>
              <w:start w:w="110" w:type="dxa"/>
              <w:bottom w:w="90" w:type="dxa"/>
              <w:end w:w="110" w:type="dxa"/>
            </w:tcMar>
          </w:tcPr>
          <w:p>
            <w:pPr>
              <w:spacing w:after="0"/>
            </w:pPr>
            <w:r>
              <w:rPr>
                <w:sz w:val="18"/>
              </w:rPr>
              <w:t>Shared war</w:t>
            </w:r>
          </w:p>
        </w:tc>
        <w:tc>
          <w:tcPr>
            <w:tcW w:type="dxa" w:w="7344"/>
            <w:shd w:fill="F4F6F7"/>
            <w:vAlign w:val="top"/>
            <w:tcMar>
              <w:top w:w="90" w:type="dxa"/>
              <w:start w:w="110" w:type="dxa"/>
              <w:bottom w:w="90" w:type="dxa"/>
              <w:end w:w="110" w:type="dxa"/>
            </w:tcMar>
          </w:tcPr>
          <w:p>
            <w:pPr>
              <w:spacing w:after="0"/>
            </w:pPr>
            <w:r>
              <w:rPr>
                <w:sz w:val="18"/>
              </w:rPr>
              <w:t>All clients see the same replicated sector, supply, priority, and active-operation state revision.</w:t>
            </w:r>
          </w:p>
        </w:tc>
      </w:tr>
      <w:tr>
        <w:tc>
          <w:tcPr>
            <w:tcW w:type="dxa" w:w="2376"/>
            <w:vAlign w:val="top"/>
            <w:tcMar>
              <w:top w:w="90" w:type="dxa"/>
              <w:start w:w="110" w:type="dxa"/>
              <w:bottom w:w="90" w:type="dxa"/>
              <w:end w:w="110" w:type="dxa"/>
            </w:tcMar>
          </w:tcPr>
          <w:p>
            <w:pPr>
              <w:spacing w:after="0"/>
            </w:pPr>
            <w:r>
              <w:rPr>
                <w:sz w:val="18"/>
              </w:rPr>
              <w:t>Operation participation</w:t>
            </w:r>
          </w:p>
        </w:tc>
        <w:tc>
          <w:tcPr>
            <w:tcW w:type="dxa" w:w="7344"/>
            <w:vAlign w:val="top"/>
            <w:tcMar>
              <w:top w:w="90" w:type="dxa"/>
              <w:start w:w="110" w:type="dxa"/>
              <w:bottom w:w="90" w:type="dxa"/>
              <w:end w:w="110" w:type="dxa"/>
            </w:tcMar>
          </w:tcPr>
          <w:p>
            <w:pPr>
              <w:spacing w:after="0"/>
            </w:pPr>
            <w:r>
              <w:rPr>
                <w:sz w:val="18"/>
              </w:rPr>
              <w:t>Every connected living player can join approach and active phases; objectives evaluate the participant set rather than one designated hero.</w:t>
            </w:r>
          </w:p>
        </w:tc>
      </w:tr>
      <w:tr>
        <w:tc>
          <w:tcPr>
            <w:tcW w:type="dxa" w:w="2376"/>
            <w:shd w:fill="F4F6F7"/>
            <w:vAlign w:val="top"/>
            <w:tcMar>
              <w:top w:w="90" w:type="dxa"/>
              <w:start w:w="110" w:type="dxa"/>
              <w:bottom w:w="90" w:type="dxa"/>
              <w:end w:w="110" w:type="dxa"/>
            </w:tcMar>
          </w:tcPr>
          <w:p>
            <w:pPr>
              <w:spacing w:after="0"/>
            </w:pPr>
            <w:r>
              <w:rPr>
                <w:sz w:val="18"/>
              </w:rPr>
              <w:t>Join in progress</w:t>
            </w:r>
          </w:p>
        </w:tc>
        <w:tc>
          <w:tcPr>
            <w:tcW w:type="dxa" w:w="7344"/>
            <w:shd w:fill="F4F6F7"/>
            <w:vAlign w:val="top"/>
            <w:tcMar>
              <w:top w:w="90" w:type="dxa"/>
              <w:start w:w="110" w:type="dxa"/>
              <w:bottom w:w="90" w:type="dxa"/>
              <w:end w:w="110" w:type="dxa"/>
            </w:tcMar>
          </w:tcPr>
          <w:p>
            <w:pPr>
              <w:spacing w:after="0"/>
            </w:pPr>
            <w:r>
              <w:rPr>
                <w:sz w:val="18"/>
              </w:rPr>
              <w:t>Joining players receive current war and operation snapshots, then spawn or redeploy at a safe valid field location.</w:t>
            </w:r>
          </w:p>
        </w:tc>
      </w:tr>
      <w:tr>
        <w:tc>
          <w:tcPr>
            <w:tcW w:type="dxa" w:w="2376"/>
            <w:vAlign w:val="top"/>
            <w:tcMar>
              <w:top w:w="90" w:type="dxa"/>
              <w:start w:w="110" w:type="dxa"/>
              <w:bottom w:w="90" w:type="dxa"/>
              <w:end w:w="110" w:type="dxa"/>
            </w:tcMar>
          </w:tcPr>
          <w:p>
            <w:pPr>
              <w:spacing w:after="0"/>
            </w:pPr>
            <w:r>
              <w:rPr>
                <w:sz w:val="18"/>
              </w:rPr>
              <w:t>Disconnect/reconnect</w:t>
            </w:r>
          </w:p>
        </w:tc>
        <w:tc>
          <w:tcPr>
            <w:tcW w:type="dxa" w:w="7344"/>
            <w:vAlign w:val="top"/>
            <w:tcMar>
              <w:top w:w="90" w:type="dxa"/>
              <w:start w:w="110" w:type="dxa"/>
              <w:bottom w:w="90" w:type="dxa"/>
              <w:end w:w="110" w:type="dxa"/>
            </w:tcMar>
          </w:tcPr>
          <w:p>
            <w:pPr>
              <w:spacing w:after="0"/>
            </w:pPr>
            <w:r>
              <w:rPr>
                <w:sz w:val="18"/>
              </w:rPr>
              <w:t>A disconnect must release claimed seats and interactions safely; reconnect restores the player without duplicating inventory or campaign effects.</w:t>
            </w:r>
          </w:p>
        </w:tc>
      </w:tr>
      <w:tr>
        <w:tc>
          <w:tcPr>
            <w:tcW w:type="dxa" w:w="2376"/>
            <w:shd w:fill="F4F6F7"/>
            <w:vAlign w:val="top"/>
            <w:tcMar>
              <w:top w:w="90" w:type="dxa"/>
              <w:start w:w="110" w:type="dxa"/>
              <w:bottom w:w="90" w:type="dxa"/>
              <w:end w:w="110" w:type="dxa"/>
            </w:tcMar>
          </w:tcPr>
          <w:p>
            <w:pPr>
              <w:spacing w:after="0"/>
            </w:pPr>
            <w:r>
              <w:rPr>
                <w:sz w:val="18"/>
              </w:rPr>
              <w:t>Respawn</w:t>
            </w:r>
          </w:p>
        </w:tc>
        <w:tc>
          <w:tcPr>
            <w:tcW w:type="dxa" w:w="7344"/>
            <w:shd w:fill="F4F6F7"/>
            <w:vAlign w:val="top"/>
            <w:tcMar>
              <w:top w:w="90" w:type="dxa"/>
              <w:start w:w="110" w:type="dxa"/>
              <w:bottom w:w="90" w:type="dxa"/>
              <w:end w:w="110" w:type="dxa"/>
            </w:tcMar>
          </w:tcPr>
          <w:p>
            <w:pPr>
              <w:spacing w:after="0"/>
            </w:pPr>
            <w:r>
              <w:rPr>
                <w:sz w:val="18"/>
              </w:rPr>
              <w:t>Multiplayer field respawn returns a player to a valid friendly sector or fallback point while preserving the shared operation state.</w:t>
            </w:r>
          </w:p>
        </w:tc>
      </w:tr>
      <w:tr>
        <w:tc>
          <w:tcPr>
            <w:tcW w:type="dxa" w:w="2376"/>
            <w:vAlign w:val="top"/>
            <w:tcMar>
              <w:top w:w="90" w:type="dxa"/>
              <w:start w:w="110" w:type="dxa"/>
              <w:bottom w:w="90" w:type="dxa"/>
              <w:end w:w="110" w:type="dxa"/>
            </w:tcMar>
          </w:tcPr>
          <w:p>
            <w:pPr>
              <w:spacing w:after="0"/>
            </w:pPr>
            <w:r>
              <w:rPr>
                <w:sz w:val="18"/>
              </w:rPr>
              <w:t>Persistence owner</w:t>
            </w:r>
          </w:p>
        </w:tc>
        <w:tc>
          <w:tcPr>
            <w:tcW w:type="dxa" w:w="7344"/>
            <w:vAlign w:val="top"/>
            <w:tcMar>
              <w:top w:w="90" w:type="dxa"/>
              <w:start w:w="110" w:type="dxa"/>
              <w:bottom w:w="90" w:type="dxa"/>
              <w:end w:w="110" w:type="dxa"/>
            </w:tcMar>
          </w:tcPr>
          <w:p>
            <w:pPr>
              <w:spacing w:after="0"/>
            </w:pPr>
            <w:r>
              <w:rPr>
                <w:sz w:val="18"/>
              </w:rPr>
              <w:t>Only server authority writes or loads the campaign; host loads use server travel so connected clients remain in the session.</w:t>
            </w:r>
          </w:p>
        </w:tc>
      </w:tr>
      <w:tr>
        <w:tc>
          <w:tcPr>
            <w:tcW w:type="dxa" w:w="2376"/>
            <w:shd w:fill="F4F6F7"/>
            <w:vAlign w:val="top"/>
            <w:tcMar>
              <w:top w:w="90" w:type="dxa"/>
              <w:start w:w="110" w:type="dxa"/>
              <w:bottom w:w="90" w:type="dxa"/>
              <w:end w:w="110" w:type="dxa"/>
            </w:tcMar>
          </w:tcPr>
          <w:p>
            <w:pPr>
              <w:spacing w:after="0"/>
            </w:pPr>
            <w:r>
              <w:rPr>
                <w:sz w:val="18"/>
              </w:rPr>
              <w:t>Communication</w:t>
            </w:r>
          </w:p>
        </w:tc>
        <w:tc>
          <w:tcPr>
            <w:tcW w:type="dxa" w:w="7344"/>
            <w:shd w:fill="F4F6F7"/>
            <w:vAlign w:val="top"/>
            <w:tcMar>
              <w:top w:w="90" w:type="dxa"/>
              <w:start w:w="110" w:type="dxa"/>
              <w:bottom w:w="90" w:type="dxa"/>
              <w:end w:w="110" w:type="dxa"/>
            </w:tcMar>
          </w:tcPr>
          <w:p>
            <w:pPr>
              <w:spacing w:after="0"/>
            </w:pPr>
            <w:r>
              <w:rPr>
                <w:sz w:val="18"/>
              </w:rPr>
              <w:t>Low-friction ping/context commands are required; voice support and platform integration remain product decisions.</w:t>
            </w:r>
          </w:p>
        </w:tc>
      </w:tr>
    </w:tbl>
    <w:p>
      <w:pPr>
        <w:spacing w:after="0"/>
      </w:pPr>
    </w:p>
    <w:p>
      <w:pPr>
        <w:pStyle w:val="Heading2"/>
      </w:pPr>
      <w:r>
        <w:t>Moment-to-Moment Loop</w:t>
      </w:r>
    </w:p>
    <w:p>
      <w:pPr>
        <w:pStyle w:val="ListNumber"/>
      </w:pPr>
      <w:r>
        <w:t>Observe: interpret sightlines, sound, cover, patrols, objectives, and friendly state.</w:t>
      </w:r>
    </w:p>
    <w:p>
      <w:pPr>
        <w:pStyle w:val="ListNumber"/>
      </w:pPr>
      <w:r>
        <w:t>Decide: communicate a route, role, engagement distance, and acceptable risk.</w:t>
      </w:r>
    </w:p>
    <w:p>
      <w:pPr>
        <w:pStyle w:val="ListNumber"/>
      </w:pPr>
      <w:r>
        <w:t>Act: move, cover teammates, lean, crouch or go prone, shoot, throw, interact, treat, and command.</w:t>
      </w:r>
    </w:p>
    <w:p>
      <w:pPr>
        <w:pStyle w:val="ListNumber"/>
      </w:pPr>
      <w:r>
        <w:t>Reassess: share feedback from suppression, injuries, ammunition, casualties, separated players, and enemy behavior.</w:t>
      </w:r>
    </w:p>
    <w:p>
      <w:pPr>
        <w:pStyle w:val="Heading2"/>
      </w:pPr>
      <w:r>
        <w:t>Operation Loop</w:t>
      </w:r>
    </w:p>
    <w:p>
      <w:pPr>
        <w:pStyle w:val="ListNumber"/>
      </w:pPr>
      <w:r>
        <w:t>Receive a strategic priority or discover a local opportunity.</w:t>
      </w:r>
    </w:p>
    <w:p>
      <w:pPr>
        <w:pStyle w:val="ListNumber"/>
      </w:pPr>
      <w:r>
        <w:t>Select an operation by squad agreement and review sector ownership, supply source, travel time, and expected force package.</w:t>
      </w:r>
    </w:p>
    <w:p>
      <w:pPr>
        <w:pStyle w:val="ListNumber"/>
      </w:pPr>
      <w:r>
        <w:t>Prepare ammunition, medical supplies, grenades, roles, AI support, and transport seats.</w:t>
      </w:r>
    </w:p>
    <w:p>
      <w:pPr>
        <w:pStyle w:val="ListNumber"/>
      </w:pPr>
      <w:r>
        <w:t>Travel through the open region; ambient war events can alter the approach.</w:t>
      </w:r>
    </w:p>
    <w:p>
      <w:pPr>
        <w:pStyle w:val="ListNumber"/>
      </w:pPr>
      <w:r>
        <w:t>Execute the operation through coordinated or split tactical routes.</w:t>
      </w:r>
    </w:p>
    <w:p>
      <w:pPr>
        <w:pStyle w:val="ListNumber"/>
      </w:pPr>
      <w:r>
        <w:t>Secure, sabotage, defend, escort, rescue, or extract.</w:t>
      </w:r>
    </w:p>
    <w:p>
      <w:pPr>
        <w:pStyle w:val="ListNumber"/>
      </w:pPr>
      <w:r>
        <w:t>Persist the result, casualties, consumed resources, sector state, and surviving field assets.</w:t>
      </w:r>
    </w:p>
    <w:p>
      <w:pPr>
        <w:pStyle w:val="Heading2"/>
      </w:pPr>
      <w:r>
        <w:t>Campaign Loop</w:t>
      </w:r>
    </w:p>
    <w:p>
      <w:r>
        <w:t>Campaign time advances in discrete strategic turns triggered by authoritative operation and travel milestones rather than a real-time clock that punishes players for reading shared information. Each turn evaluates contested sectors, supply connectivity, reinforcement capacity, militia pressure, recovery, and new priorities. The squad can influence but not perfectly control every front.</w:t>
      </w:r>
    </w:p>
    <w:tbl>
      <w:tblPr>
        <w:tblW w:type="auto" w:w="0"/>
        <w:jc w:val="center"/>
        <w:tblLayout w:type="fixed"/>
        <w:tblLook w:firstColumn="1" w:firstRow="1" w:lastColumn="0" w:lastRow="0" w:noHBand="0" w:noVBand="1" w:val="04A0"/>
      </w:tblPr>
      <w:tblGrid>
        <w:gridCol w:w="9936"/>
      </w:tblGrid>
      <w:tr>
        <w:tc>
          <w:tcPr>
            <w:tcW w:type="dxa" w:w="9720"/>
            <w:shd w:fill="E8EEF2"/>
            <w:tcMar>
              <w:top w:w="150" w:type="dxa"/>
              <w:start w:w="180" w:type="dxa"/>
              <w:bottom w:w="150" w:type="dxa"/>
              <w:end w:w="180" w:type="dxa"/>
            </w:tcMar>
          </w:tcPr>
          <w:p>
            <w:pPr>
              <w:spacing w:after="40"/>
            </w:pPr>
            <w:r>
              <w:rPr>
                <w:b/>
                <w:color w:val="C96D2D"/>
              </w:rPr>
              <w:t xml:space="preserve">PACING RULE  </w:t>
            </w:r>
            <w:r>
              <w:rPr>
                <w:color w:val="162735"/>
              </w:rPr>
              <w:t>The squad should face one clear primary crisis and at most two credible secondary opportunities. More events may exist in simulation, but the interface must not present all of them as equal emergencies.</w:t>
            </w:r>
          </w:p>
        </w:tc>
      </w:tr>
    </w:tbl>
    <w:p>
      <w:pPr>
        <w:spacing w:after="0"/>
      </w:pPr>
    </w:p>
    <w:p>
      <w:pPr>
        <w:pStyle w:val="Heading2"/>
      </w:pPr>
      <w:r>
        <w:t>Campaign States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656"/>
            <w:shd w:fill="162735"/>
            <w:vAlign w:val="center"/>
            <w:tcMar>
              <w:top w:w="90" w:type="dxa"/>
              <w:start w:w="110" w:type="dxa"/>
              <w:bottom w:w="90" w:type="dxa"/>
              <w:end w:w="110" w:type="dxa"/>
            </w:tcMar>
          </w:tcPr>
          <w:p>
            <w:r>
              <w:rPr>
                <w:b/>
                <w:color w:val="FFFFFF"/>
                <w:sz w:val="18"/>
              </w:rPr>
              <w:t>State</w:t>
            </w:r>
          </w:p>
        </w:tc>
        <w:tc>
          <w:tcPr>
            <w:tcW w:type="dxa" w:w="3672"/>
            <w:shd w:fill="162735"/>
            <w:vAlign w:val="center"/>
            <w:tcMar>
              <w:top w:w="90" w:type="dxa"/>
              <w:start w:w="110" w:type="dxa"/>
              <w:bottom w:w="90" w:type="dxa"/>
              <w:end w:w="110" w:type="dxa"/>
            </w:tcMar>
          </w:tcPr>
          <w:p>
            <w:r>
              <w:rPr>
                <w:b/>
                <w:color w:val="FFFFFF"/>
                <w:sz w:val="18"/>
              </w:rPr>
              <w:t>Condition</w:t>
            </w:r>
          </w:p>
        </w:tc>
        <w:tc>
          <w:tcPr>
            <w:tcW w:type="dxa" w:w="4392"/>
            <w:shd w:fill="162735"/>
            <w:vAlign w:val="center"/>
            <w:tcMar>
              <w:top w:w="90" w:type="dxa"/>
              <w:start w:w="110" w:type="dxa"/>
              <w:bottom w:w="90" w:type="dxa"/>
              <w:end w:w="110" w:type="dxa"/>
            </w:tcMar>
          </w:tcPr>
          <w:p>
            <w:r>
              <w:rPr>
                <w:b/>
                <w:color w:val="FFFFFF"/>
                <w:sz w:val="18"/>
              </w:rPr>
              <w:t>Player-facing effect</w:t>
            </w:r>
          </w:p>
        </w:tc>
      </w:tr>
      <w:tr>
        <w:tc>
          <w:tcPr>
            <w:tcW w:type="dxa" w:w="1656"/>
            <w:vAlign w:val="top"/>
            <w:tcMar>
              <w:top w:w="90" w:type="dxa"/>
              <w:start w:w="110" w:type="dxa"/>
              <w:bottom w:w="90" w:type="dxa"/>
              <w:end w:w="110" w:type="dxa"/>
            </w:tcMar>
          </w:tcPr>
          <w:p>
            <w:pPr>
              <w:spacing w:after="0"/>
            </w:pPr>
            <w:r>
              <w:rPr>
                <w:sz w:val="18"/>
              </w:rPr>
              <w:t>Stable front</w:t>
            </w:r>
          </w:p>
        </w:tc>
        <w:tc>
          <w:tcPr>
            <w:tcW w:type="dxa" w:w="3672"/>
            <w:vAlign w:val="top"/>
            <w:tcMar>
              <w:top w:w="90" w:type="dxa"/>
              <w:start w:w="110" w:type="dxa"/>
              <w:bottom w:w="90" w:type="dxa"/>
              <w:end w:w="110" w:type="dxa"/>
            </w:tcMar>
          </w:tcPr>
          <w:p>
            <w:pPr>
              <w:spacing w:after="0"/>
            </w:pPr>
            <w:r>
              <w:rPr>
                <w:sz w:val="18"/>
              </w:rPr>
              <w:t>Supply routes connected; no critical sector threatened.</w:t>
            </w:r>
          </w:p>
        </w:tc>
        <w:tc>
          <w:tcPr>
            <w:tcW w:type="dxa" w:w="4392"/>
            <w:vAlign w:val="top"/>
            <w:tcMar>
              <w:top w:w="90" w:type="dxa"/>
              <w:start w:w="110" w:type="dxa"/>
              <w:bottom w:w="90" w:type="dxa"/>
              <w:end w:w="110" w:type="dxa"/>
            </w:tcMar>
          </w:tcPr>
          <w:p>
            <w:pPr>
              <w:spacing w:after="0"/>
            </w:pPr>
            <w:r>
              <w:rPr>
                <w:sz w:val="18"/>
              </w:rPr>
              <w:t>Space to scout, raid, recover, and improve position.</w:t>
            </w:r>
          </w:p>
        </w:tc>
      </w:tr>
      <w:tr>
        <w:tc>
          <w:tcPr>
            <w:tcW w:type="dxa" w:w="1656"/>
            <w:shd w:fill="F4F6F7"/>
            <w:vAlign w:val="top"/>
            <w:tcMar>
              <w:top w:w="90" w:type="dxa"/>
              <w:start w:w="110" w:type="dxa"/>
              <w:bottom w:w="90" w:type="dxa"/>
              <w:end w:w="110" w:type="dxa"/>
            </w:tcMar>
          </w:tcPr>
          <w:p>
            <w:pPr>
              <w:spacing w:after="0"/>
            </w:pPr>
            <w:r>
              <w:rPr>
                <w:sz w:val="18"/>
              </w:rPr>
              <w:t>Contested</w:t>
            </w:r>
          </w:p>
        </w:tc>
        <w:tc>
          <w:tcPr>
            <w:tcW w:type="dxa" w:w="3672"/>
            <w:shd w:fill="F4F6F7"/>
            <w:vAlign w:val="top"/>
            <w:tcMar>
              <w:top w:w="90" w:type="dxa"/>
              <w:start w:w="110" w:type="dxa"/>
              <w:bottom w:w="90" w:type="dxa"/>
              <w:end w:w="110" w:type="dxa"/>
            </w:tcMar>
          </w:tcPr>
          <w:p>
            <w:pPr>
              <w:spacing w:after="0"/>
            </w:pPr>
            <w:r>
              <w:rPr>
                <w:sz w:val="18"/>
              </w:rPr>
              <w:t>Enemy pressure meets friendly control.</w:t>
            </w:r>
          </w:p>
        </w:tc>
        <w:tc>
          <w:tcPr>
            <w:tcW w:type="dxa" w:w="4392"/>
            <w:shd w:fill="F4F6F7"/>
            <w:vAlign w:val="top"/>
            <w:tcMar>
              <w:top w:w="90" w:type="dxa"/>
              <w:start w:w="110" w:type="dxa"/>
              <w:bottom w:w="90" w:type="dxa"/>
              <w:end w:w="110" w:type="dxa"/>
            </w:tcMar>
          </w:tcPr>
          <w:p>
            <w:pPr>
              <w:spacing w:after="0"/>
            </w:pPr>
            <w:r>
              <w:rPr>
                <w:sz w:val="18"/>
              </w:rPr>
              <w:t>Attack/defense opportunities, higher patrol density, disrupted travel.</w:t>
            </w:r>
          </w:p>
        </w:tc>
      </w:tr>
      <w:tr>
        <w:tc>
          <w:tcPr>
            <w:tcW w:type="dxa" w:w="1656"/>
            <w:vAlign w:val="top"/>
            <w:tcMar>
              <w:top w:w="90" w:type="dxa"/>
              <w:start w:w="110" w:type="dxa"/>
              <w:bottom w:w="90" w:type="dxa"/>
              <w:end w:w="110" w:type="dxa"/>
            </w:tcMar>
          </w:tcPr>
          <w:p>
            <w:pPr>
              <w:spacing w:after="0"/>
            </w:pPr>
            <w:r>
              <w:rPr>
                <w:sz w:val="18"/>
              </w:rPr>
              <w:t>Breakthrough risk</w:t>
            </w:r>
          </w:p>
        </w:tc>
        <w:tc>
          <w:tcPr>
            <w:tcW w:type="dxa" w:w="3672"/>
            <w:vAlign w:val="top"/>
            <w:tcMar>
              <w:top w:w="90" w:type="dxa"/>
              <w:start w:w="110" w:type="dxa"/>
              <w:bottom w:w="90" w:type="dxa"/>
              <w:end w:w="110" w:type="dxa"/>
            </w:tcMar>
          </w:tcPr>
          <w:p>
            <w:pPr>
              <w:spacing w:after="0"/>
            </w:pPr>
            <w:r>
              <w:rPr>
                <w:sz w:val="18"/>
              </w:rPr>
              <w:t>A critical connected sector is under-supplied and pressured.</w:t>
            </w:r>
          </w:p>
        </w:tc>
        <w:tc>
          <w:tcPr>
            <w:tcW w:type="dxa" w:w="4392"/>
            <w:vAlign w:val="top"/>
            <w:tcMar>
              <w:top w:w="90" w:type="dxa"/>
              <w:start w:w="110" w:type="dxa"/>
              <w:bottom w:w="90" w:type="dxa"/>
              <w:end w:w="110" w:type="dxa"/>
            </w:tcMar>
          </w:tcPr>
          <w:p>
            <w:pPr>
              <w:spacing w:after="0"/>
            </w:pPr>
            <w:r>
              <w:rPr>
                <w:sz w:val="18"/>
              </w:rPr>
              <w:t>Short approach window; losing may isolate downstream sectors.</w:t>
            </w:r>
          </w:p>
        </w:tc>
      </w:tr>
      <w:tr>
        <w:tc>
          <w:tcPr>
            <w:tcW w:type="dxa" w:w="1656"/>
            <w:shd w:fill="F4F6F7"/>
            <w:vAlign w:val="top"/>
            <w:tcMar>
              <w:top w:w="90" w:type="dxa"/>
              <w:start w:w="110" w:type="dxa"/>
              <w:bottom w:w="90" w:type="dxa"/>
              <w:end w:w="110" w:type="dxa"/>
            </w:tcMar>
          </w:tcPr>
          <w:p>
            <w:pPr>
              <w:spacing w:after="0"/>
            </w:pPr>
            <w:r>
              <w:rPr>
                <w:sz w:val="18"/>
              </w:rPr>
              <w:t>Encircled</w:t>
            </w:r>
          </w:p>
        </w:tc>
        <w:tc>
          <w:tcPr>
            <w:tcW w:type="dxa" w:w="3672"/>
            <w:shd w:fill="F4F6F7"/>
            <w:vAlign w:val="top"/>
            <w:tcMar>
              <w:top w:w="90" w:type="dxa"/>
              <w:start w:w="110" w:type="dxa"/>
              <w:bottom w:w="90" w:type="dxa"/>
              <w:end w:w="110" w:type="dxa"/>
            </w:tcMar>
          </w:tcPr>
          <w:p>
            <w:pPr>
              <w:spacing w:after="0"/>
            </w:pPr>
            <w:r>
              <w:rPr>
                <w:sz w:val="18"/>
              </w:rPr>
              <w:t>No friendly supply route reaches the sector.</w:t>
            </w:r>
          </w:p>
        </w:tc>
        <w:tc>
          <w:tcPr>
            <w:tcW w:type="dxa" w:w="4392"/>
            <w:shd w:fill="F4F6F7"/>
            <w:vAlign w:val="top"/>
            <w:tcMar>
              <w:top w:w="90" w:type="dxa"/>
              <w:start w:w="110" w:type="dxa"/>
              <w:bottom w:w="90" w:type="dxa"/>
              <w:end w:w="110" w:type="dxa"/>
            </w:tcMar>
          </w:tcPr>
          <w:p>
            <w:pPr>
              <w:spacing w:after="0"/>
            </w:pPr>
            <w:r>
              <w:rPr>
                <w:sz w:val="18"/>
              </w:rPr>
              <w:t>Reduced support, scarce resupply, evacuation or relief priorities.</w:t>
            </w:r>
          </w:p>
        </w:tc>
      </w:tr>
      <w:tr>
        <w:tc>
          <w:tcPr>
            <w:tcW w:type="dxa" w:w="1656"/>
            <w:vAlign w:val="top"/>
            <w:tcMar>
              <w:top w:w="90" w:type="dxa"/>
              <w:start w:w="110" w:type="dxa"/>
              <w:bottom w:w="90" w:type="dxa"/>
              <w:end w:w="110" w:type="dxa"/>
            </w:tcMar>
          </w:tcPr>
          <w:p>
            <w:pPr>
              <w:spacing w:after="0"/>
            </w:pPr>
            <w:r>
              <w:rPr>
                <w:sz w:val="18"/>
              </w:rPr>
              <w:t>Regional collapse</w:t>
            </w:r>
          </w:p>
        </w:tc>
        <w:tc>
          <w:tcPr>
            <w:tcW w:type="dxa" w:w="3672"/>
            <w:vAlign w:val="top"/>
            <w:tcMar>
              <w:top w:w="90" w:type="dxa"/>
              <w:start w:w="110" w:type="dxa"/>
              <w:bottom w:w="90" w:type="dxa"/>
              <w:end w:w="110" w:type="dxa"/>
            </w:tcMar>
          </w:tcPr>
          <w:p>
            <w:pPr>
              <w:spacing w:after="0"/>
            </w:pPr>
            <w:r>
              <w:rPr>
                <w:sz w:val="18"/>
              </w:rPr>
              <w:t>Key command/logistics conditions fail.</w:t>
            </w:r>
          </w:p>
        </w:tc>
        <w:tc>
          <w:tcPr>
            <w:tcW w:type="dxa" w:w="4392"/>
            <w:vAlign w:val="top"/>
            <w:tcMar>
              <w:top w:w="90" w:type="dxa"/>
              <w:start w:w="110" w:type="dxa"/>
              <w:bottom w:w="90" w:type="dxa"/>
              <w:end w:w="110" w:type="dxa"/>
            </w:tcMar>
          </w:tcPr>
          <w:p>
            <w:pPr>
              <w:spacing w:after="0"/>
            </w:pPr>
            <w:r>
              <w:rPr>
                <w:sz w:val="18"/>
              </w:rPr>
              <w:t>Campaign loss sequence or costly final recovery operation.</w:t>
            </w:r>
          </w:p>
        </w:tc>
      </w:tr>
      <w:tr>
        <w:tc>
          <w:tcPr>
            <w:tcW w:type="dxa" w:w="1656"/>
            <w:shd w:fill="F4F6F7"/>
            <w:vAlign w:val="top"/>
            <w:tcMar>
              <w:top w:w="90" w:type="dxa"/>
              <w:start w:w="110" w:type="dxa"/>
              <w:bottom w:w="90" w:type="dxa"/>
              <w:end w:w="110" w:type="dxa"/>
            </w:tcMar>
          </w:tcPr>
          <w:p>
            <w:pPr>
              <w:spacing w:after="0"/>
            </w:pPr>
            <w:r>
              <w:rPr>
                <w:sz w:val="18"/>
              </w:rPr>
              <w:t>Operational victory</w:t>
            </w:r>
          </w:p>
        </w:tc>
        <w:tc>
          <w:tcPr>
            <w:tcW w:type="dxa" w:w="3672"/>
            <w:shd w:fill="F4F6F7"/>
            <w:vAlign w:val="top"/>
            <w:tcMar>
              <w:top w:w="90" w:type="dxa"/>
              <w:start w:w="110" w:type="dxa"/>
              <w:bottom w:w="90" w:type="dxa"/>
              <w:end w:w="110" w:type="dxa"/>
            </w:tcMar>
          </w:tcPr>
          <w:p>
            <w:pPr>
              <w:spacing w:after="0"/>
            </w:pPr>
            <w:r>
              <w:rPr>
                <w:sz w:val="18"/>
              </w:rPr>
              <w:t>Player side meets theater objectives.</w:t>
            </w:r>
          </w:p>
        </w:tc>
        <w:tc>
          <w:tcPr>
            <w:tcW w:type="dxa" w:w="4392"/>
            <w:shd w:fill="F4F6F7"/>
            <w:vAlign w:val="top"/>
            <w:tcMar>
              <w:top w:w="90" w:type="dxa"/>
              <w:start w:w="110" w:type="dxa"/>
              <w:bottom w:w="90" w:type="dxa"/>
              <w:end w:w="110" w:type="dxa"/>
            </w:tcMar>
          </w:tcPr>
          <w:p>
            <w:pPr>
              <w:spacing w:after="0"/>
            </w:pPr>
            <w:r>
              <w:rPr>
                <w:sz w:val="18"/>
              </w:rPr>
              <w:t>Campaign resolution based on territory, force preservation, and civilian impact.</w:t>
            </w:r>
          </w:p>
        </w:tc>
      </w:tr>
    </w:tbl>
    <w:p>
      <w:pPr>
        <w:spacing w:after="0"/>
      </w:pPr>
    </w:p>
    <w:p>
      <w:pPr>
        <w:pStyle w:val="Heading2"/>
      </w:pPr>
      <w:r>
        <w:t>Failure Philosophy</w:t>
      </w:r>
    </w:p>
    <w:p>
      <w:r>
        <w:t>An individual tactical death enters multiplayer field-respawn flow; surviving teammates can continue the operation. A full squad wipe, retreat, or partial success normally preserves the shared campaign outcome instead of rewinding every client. A host-authorized restart may be offered for onboarding or custom sessions, but the distinction must be explicit: restarting rewinds the operation, while accepting the outcome commits the authoritative war state.</w:t>
      </w:r>
    </w:p>
    <w:p>
      <w:pPr>
        <w:pStyle w:val="Heading1"/>
      </w:pPr>
      <w:r>
        <w:t>Module Exit Checklist</w:t>
      </w:r>
    </w:p>
    <w:p>
      <w:pPr>
        <w:pStyle w:val="ListBullet"/>
      </w:pPr>
      <w:r>
        <w:t>The module can be read without another file to understand its owned decisions.</w:t>
      </w:r>
    </w:p>
    <w:p>
      <w:pPr>
        <w:pStyle w:val="ListBullet"/>
      </w:pPr>
      <w:r>
        <w:t>Every external dependency is named in the header and not silently duplicated.</w:t>
      </w:r>
    </w:p>
    <w:p>
      <w:pPr>
        <w:pStyle w:val="ListBullet"/>
      </w:pPr>
      <w:r>
        <w:t>Every published interface uses stable terminology consistent with the master index.</w:t>
      </w:r>
    </w:p>
    <w:p>
      <w:pPr>
        <w:pStyle w:val="ListBullet"/>
      </w:pPr>
      <w:r>
        <w:t>Multiplayer authority, replication, reconnect, and persistence implications are addressed where relevant.</w:t>
      </w:r>
    </w:p>
    <w:p>
      <w:pPr>
        <w:pStyle w:val="ListBullet"/>
      </w:pPr>
      <w:r>
        <w:t>Acceptance criteria are testable and assignable to a discipline.</w:t>
      </w:r>
    </w:p>
    <w:p>
      <w:pPr>
        <w:pStyle w:val="ListBullet"/>
      </w:pPr>
      <w:r>
        <w:t>Changes to objective IDs, persistence IDs, reflected names, paths, or save fields include a consumer audit.</w:t>
      </w:r>
    </w:p>
    <w:p>
      <w:pPr>
        <w:spacing w:before="200"/>
      </w:pPr>
      <w:r>
        <w:rPr>
          <w:b/>
          <w:color w:val="35566E"/>
        </w:rPr>
        <w:t>End of GDD-02  /  Multiplayer Session, Core Loop, and Campaign</w:t>
      </w:r>
    </w:p>
    <w:sectPr w:rsidR="00FC693F" w:rsidRPr="0006063C" w:rsidSect="00034616">
      <w:headerReference w:type="default" r:id="rId9"/>
      <w:footerReference w:type="default" r:id="rId10"/>
      <w:pgSz w:w="12240" w:h="15840"/>
      <w:pgMar w:top="1080" w:right="1152" w:bottom="1008"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E6C76"/>
        <w:sz w:val="16"/>
      </w:rPr>
      <w:t xml:space="preserve">VERSION 1.1  |  29 JULY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rFonts w:ascii="Aptos" w:hAnsi="Aptos"/>
        <w:b/>
        <w:color w:val="5E6C76"/>
        <w:sz w:val="16"/>
      </w:rPr>
      <w:t>BROKEN HORIZON  /  MODULAR GDD  /  GDD-02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17202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62735"/>
      <w:sz w:val="3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35566E"/>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C96D2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62735"/>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Display" w:hAnsi="Aptos Display"/>
      <w:b w:val="0"/>
      <w:i/>
      <w:iCs/>
      <w:color w:val="5E6C76"/>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403" w:hanging="259"/>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403" w:hanging="259"/>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ns0:Relationships xmlns:ns0="http://schemas.openxmlformats.org/package/2006/relationships"><ns0:Relationship Id="rId3" Type="http://schemas.openxmlformats.org/officeDocument/2006/relationships/styles" Target="styles.xml" /><ns0:Relationship Id="rId4" Type="http://schemas.microsoft.com/office/2007/relationships/stylesWithEffects" Target="stylesWithEffects.xml" /><ns0:Relationship Id="rId5" Type="http://schemas.openxmlformats.org/officeDocument/2006/relationships/settings" Target="settings.xml" /><ns0:Relationship Id="rId6" Type="http://schemas.openxmlformats.org/officeDocument/2006/relationships/webSettings" Target="webSettings.xml" /><ns0:Relationship Id="rId7" Type="http://schemas.openxmlformats.org/officeDocument/2006/relationships/fontTable" Target="fontTable.xml" /><ns0:Relationship Id="rId8" Type="http://schemas.openxmlformats.org/officeDocument/2006/relationships/theme" Target="theme/theme1.xml" /><ns0:Relationship Id="rId1" Type="http://schemas.openxmlformats.org/officeDocument/2006/relationships/customXml" Target="../customXml/item1.xml" /><ns0:Relationship Id="rId2" Type="http://schemas.openxmlformats.org/officeDocument/2006/relationships/numbering" Target="numbering.xml" /><ns0:Relationship Id="rId9" Type="http://schemas.openxmlformats.org/officeDocument/2006/relationships/header" Target="header1.xml" /><ns0:Relationship Id="rId10" Type="http://schemas.openxmlformats.org/officeDocument/2006/relationships/footer" Target="footer1.xml"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Broken Horizon GDD-02 - Multiplayer Session, Core Loop, and Campaign</dc:title>
  <dc:subject>Separable modular game design document</dc:subject>
  <dc:creator>Broken Horizon Development Team</dc:creator>
  <cp:keywords>Broken Horizon, GDD, tactical FPS, persistent war, Unreal Engine</cp:keywords>
  <dc:description>generated by python-docx</dc:description>
  <cp:lastModifiedBy/>
  <cp:revision>1</cp:revision>
  <dcterms:created xsi:type="dcterms:W3CDTF">2013-12-23T23:15:00Z</dcterms:created>
  <dcterms:modified xsi:type="dcterms:W3CDTF">2013-12-23T23:15:00Z</dcterms:modified>
  <cp:category/>
</cp:coreProperties>
</file>