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C96D2D"/>
          <w:sz w:val="22"/>
        </w:rPr>
        <w:t>GDD-05</w:t>
      </w:r>
    </w:p>
    <w:p>
      <w:pPr>
        <w:pStyle w:val="Title"/>
      </w:pPr>
      <w:r>
        <w:t>AI, Factions, Morale, and Tactical Command</w:t>
      </w:r>
    </w:p>
    <w:p>
      <w:pPr>
        <w:pStyle w:val="Subtitle"/>
      </w:pPr>
      <w:r>
        <w:t>Standalone production module for the cooperative multiplayer game design</w:t>
      </w:r>
    </w:p>
    <w:tbl>
      <w:tblPr>
        <w:tblStyle w:val="TableGrid"/>
        <w:tblW w:type="auto" w:w="0"/>
        <w:jc w:val="center"/>
        <w:tblLook w:firstColumn="1" w:firstRow="1" w:lastColumn="0" w:lastRow="0" w:noHBand="0" w:noVBand="1" w:val="04A0"/>
      </w:tblPr>
      <w:tblGrid>
        <w:gridCol w:w="4968"/>
        <w:gridCol w:w="4968"/>
      </w:tblGrid>
      <w:tr>
        <w:tc>
          <w:tcPr>
            <w:tcW w:type="dxa" w:w="4968"/>
            <w:shd w:fill="E8EEF2"/>
          </w:tcPr>
          <w:p>
            <w:pPr>
              <w:spacing w:after="0"/>
            </w:pPr>
            <w:r>
              <w:rPr>
                <w:b/>
                <w:color w:val="162735"/>
              </w:rPr>
              <w:t>Module owner</w:t>
            </w:r>
          </w:p>
        </w:tc>
        <w:tc>
          <w:tcPr>
            <w:tcW w:type="dxa" w:w="4968"/>
          </w:tcPr>
          <w:p>
            <w:pPr>
              <w:spacing w:after="0"/>
            </w:pPr>
            <w:r>
              <w:t>AI Designer / AI Engineer</w:t>
            </w:r>
          </w:p>
        </w:tc>
      </w:tr>
      <w:tr>
        <w:tc>
          <w:tcPr>
            <w:tcW w:type="dxa" w:w="4968"/>
            <w:shd w:fill="E8EEF2"/>
          </w:tcPr>
          <w:p>
            <w:pPr>
              <w:spacing w:after="0"/>
            </w:pPr>
            <w:r>
              <w:rPr>
                <w:b/>
                <w:color w:val="162735"/>
              </w:rPr>
              <w:t>Depends on</w:t>
            </w:r>
          </w:p>
        </w:tc>
        <w:tc>
          <w:tcPr>
            <w:tcW w:type="dxa" w:w="4968"/>
          </w:tcPr>
          <w:p>
            <w:pPr>
              <w:spacing w:after="0"/>
            </w:pPr>
            <w:r>
              <w:t>GDD-02, GDD-03, GDD-04</w:t>
            </w:r>
          </w:p>
        </w:tc>
      </w:tr>
      <w:tr>
        <w:tc>
          <w:tcPr>
            <w:tcW w:type="dxa" w:w="4968"/>
            <w:shd w:fill="E8EEF2"/>
          </w:tcPr>
          <w:p>
            <w:pPr>
              <w:spacing w:after="0"/>
            </w:pPr>
            <w:r>
              <w:rPr>
                <w:b/>
                <w:color w:val="162735"/>
              </w:rPr>
              <w:t>Publishes</w:t>
            </w:r>
          </w:p>
        </w:tc>
        <w:tc>
          <w:tcPr>
            <w:tcW w:type="dxa" w:w="4968"/>
          </w:tcPr>
          <w:p>
            <w:pPr>
              <w:spacing w:after="0"/>
            </w:pPr>
            <w:r>
              <w:t>AI states, perception, morale, field-squad command contract</w:t>
            </w:r>
          </w:p>
        </w:tc>
      </w:tr>
      <w:tr>
        <w:tc>
          <w:tcPr>
            <w:tcW w:type="dxa" w:w="4968"/>
            <w:shd w:fill="E8EEF2"/>
          </w:tcPr>
          <w:p>
            <w:pPr>
              <w:spacing w:after="0"/>
            </w:pPr>
            <w:r>
              <w:rPr>
                <w:b/>
                <w:color w:val="162735"/>
              </w:rPr>
              <w:t>Change rule</w:t>
            </w:r>
          </w:p>
        </w:tc>
        <w:tc>
          <w:tcPr>
            <w:tcW w:type="dxa" w:w="4968"/>
          </w:tcPr>
          <w:p>
            <w:pPr>
              <w:spacing w:after="0"/>
            </w:pPr>
            <w:r>
              <w:t>Update this module first, then review every listed consumer in the master index.</w:t>
            </w:r>
          </w:p>
        </w:tc>
      </w:tr>
    </w:tbl>
    <w:p/>
    <w:p>
      <w:pPr>
        <w:pStyle w:val="Heading1"/>
        <w:keepNext/>
      </w:pPr>
      <w:r>
        <w:t>Module Boundary Contract</w:t>
      </w:r>
    </w:p>
    <w:p>
      <w:pPr>
        <w:pStyle w:val="ListBullet"/>
      </w:pPr>
      <w:r>
        <w:t>This file may be assigned, reviewed, versioned, or replaced independently.</w:t>
      </w:r>
    </w:p>
    <w:p>
      <w:pPr>
        <w:pStyle w:val="ListBullet"/>
      </w:pPr>
      <w:r>
        <w:t>Terms and IDs published by this module are interfaces; downstream modules consume them without redefining them.</w:t>
      </w:r>
    </w:p>
    <w:p>
      <w:pPr>
        <w:pStyle w:val="ListBullet"/>
      </w:pPr>
      <w:r>
        <w:t>Cross-module changes require an impact review against the master dependency register.</w:t>
      </w:r>
    </w:p>
    <w:p>
      <w:pPr>
        <w:pStyle w:val="ListBullet"/>
      </w:pPr>
      <w:r>
        <w:t>Implementation values remain tunable unless explicitly identified as a persistence, objective, asset-path, or network contract.</w:t>
      </w:r>
    </w:p>
    <w:p>
      <w:pPr>
        <w:pStyle w:val="Heading1"/>
      </w:pPr>
      <w:r>
        <w:t>Design Specification</w:t>
      </w:r>
    </w:p>
    <w:p>
      <w:pPr>
        <w:pStyle w:val="Heading2"/>
      </w:pPr>
      <w:r>
        <w:t>Combatant State Model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162735"/>
            <w:vAlign w:val="center"/>
            <w:tcMar>
              <w:top w:w="90" w:type="dxa"/>
              <w:start w:w="110" w:type="dxa"/>
              <w:bottom w:w="90" w:type="dxa"/>
              <w:end w:w="110" w:type="dxa"/>
            </w:tcMar>
          </w:tcPr>
          <w:p>
            <w:r>
              <w:rPr>
                <w:b/>
                <w:color w:val="FFFFFF"/>
                <w:sz w:val="18"/>
              </w:rPr>
              <w:t>State</w:t>
            </w:r>
          </w:p>
        </w:tc>
        <w:tc>
          <w:tcPr>
            <w:tcW w:type="dxa" w:w="3168"/>
            <w:shd w:fill="162735"/>
            <w:vAlign w:val="center"/>
            <w:tcMar>
              <w:top w:w="90" w:type="dxa"/>
              <w:start w:w="110" w:type="dxa"/>
              <w:bottom w:w="90" w:type="dxa"/>
              <w:end w:w="110" w:type="dxa"/>
            </w:tcMar>
          </w:tcPr>
          <w:p>
            <w:r>
              <w:rPr>
                <w:b/>
                <w:color w:val="FFFFFF"/>
                <w:sz w:val="18"/>
              </w:rPr>
              <w:t>Trigger</w:t>
            </w:r>
          </w:p>
        </w:tc>
        <w:tc>
          <w:tcPr>
            <w:tcW w:type="dxa" w:w="4680"/>
            <w:shd w:fill="162735"/>
            <w:vAlign w:val="center"/>
            <w:tcMar>
              <w:top w:w="90" w:type="dxa"/>
              <w:start w:w="110" w:type="dxa"/>
              <w:bottom w:w="90" w:type="dxa"/>
              <w:end w:w="110" w:type="dxa"/>
            </w:tcMar>
          </w:tcPr>
          <w:p>
            <w:r>
              <w:rPr>
                <w:b/>
                <w:color w:val="FFFFFF"/>
                <w:sz w:val="18"/>
              </w:rPr>
              <w:t>Behavior</w:t>
            </w:r>
          </w:p>
        </w:tc>
      </w:tr>
      <w:tr>
        <w:tc>
          <w:tcPr>
            <w:tcW w:type="dxa" w:w="1872"/>
            <w:vAlign w:val="top"/>
            <w:tcMar>
              <w:top w:w="90" w:type="dxa"/>
              <w:start w:w="110" w:type="dxa"/>
              <w:bottom w:w="90" w:type="dxa"/>
              <w:end w:w="110" w:type="dxa"/>
            </w:tcMar>
          </w:tcPr>
          <w:p>
            <w:pPr>
              <w:spacing w:after="0"/>
            </w:pPr>
            <w:r>
              <w:rPr>
                <w:sz w:val="18"/>
              </w:rPr>
              <w:t>Patrol</w:t>
            </w:r>
          </w:p>
        </w:tc>
        <w:tc>
          <w:tcPr>
            <w:tcW w:type="dxa" w:w="3168"/>
            <w:vAlign w:val="top"/>
            <w:tcMar>
              <w:top w:w="90" w:type="dxa"/>
              <w:start w:w="110" w:type="dxa"/>
              <w:bottom w:w="90" w:type="dxa"/>
              <w:end w:w="110" w:type="dxa"/>
            </w:tcMar>
          </w:tcPr>
          <w:p>
            <w:pPr>
              <w:spacing w:after="0"/>
            </w:pPr>
            <w:r>
              <w:rPr>
                <w:sz w:val="18"/>
              </w:rPr>
              <w:t>No threat</w:t>
            </w:r>
          </w:p>
        </w:tc>
        <w:tc>
          <w:tcPr>
            <w:tcW w:type="dxa" w:w="4680"/>
            <w:vAlign w:val="top"/>
            <w:tcMar>
              <w:top w:w="90" w:type="dxa"/>
              <w:start w:w="110" w:type="dxa"/>
              <w:bottom w:w="90" w:type="dxa"/>
              <w:end w:w="110" w:type="dxa"/>
            </w:tcMar>
          </w:tcPr>
          <w:p>
            <w:pPr>
              <w:spacing w:after="0"/>
            </w:pPr>
            <w:r>
              <w:rPr>
                <w:sz w:val="18"/>
              </w:rPr>
              <w:t>Follow patrol route, observe, idle briefly, maintain believable spacing.</w:t>
            </w:r>
          </w:p>
        </w:tc>
      </w:tr>
      <w:tr>
        <w:tc>
          <w:tcPr>
            <w:tcW w:type="dxa" w:w="1872"/>
            <w:shd w:fill="F4F6F7"/>
            <w:vAlign w:val="top"/>
            <w:tcMar>
              <w:top w:w="90" w:type="dxa"/>
              <w:start w:w="110" w:type="dxa"/>
              <w:bottom w:w="90" w:type="dxa"/>
              <w:end w:w="110" w:type="dxa"/>
            </w:tcMar>
          </w:tcPr>
          <w:p>
            <w:pPr>
              <w:spacing w:after="0"/>
            </w:pPr>
            <w:r>
              <w:rPr>
                <w:sz w:val="18"/>
              </w:rPr>
              <w:t>Alert / investigate</w:t>
            </w:r>
          </w:p>
        </w:tc>
        <w:tc>
          <w:tcPr>
            <w:tcW w:type="dxa" w:w="3168"/>
            <w:shd w:fill="F4F6F7"/>
            <w:vAlign w:val="top"/>
            <w:tcMar>
              <w:top w:w="90" w:type="dxa"/>
              <w:start w:w="110" w:type="dxa"/>
              <w:bottom w:w="90" w:type="dxa"/>
              <w:end w:w="110" w:type="dxa"/>
            </w:tcMar>
          </w:tcPr>
          <w:p>
            <w:pPr>
              <w:spacing w:after="0"/>
            </w:pPr>
            <w:r>
              <w:rPr>
                <w:sz w:val="18"/>
              </w:rPr>
              <w:t>Heard or uncertain stimulus</w:t>
            </w:r>
          </w:p>
        </w:tc>
        <w:tc>
          <w:tcPr>
            <w:tcW w:type="dxa" w:w="4680"/>
            <w:shd w:fill="F4F6F7"/>
            <w:vAlign w:val="top"/>
            <w:tcMar>
              <w:top w:w="90" w:type="dxa"/>
              <w:start w:w="110" w:type="dxa"/>
              <w:bottom w:w="90" w:type="dxa"/>
              <w:end w:w="110" w:type="dxa"/>
            </w:tcMar>
          </w:tcPr>
          <w:p>
            <w:pPr>
              <w:spacing w:after="0"/>
            </w:pPr>
            <w:r>
              <w:rPr>
                <w:sz w:val="18"/>
              </w:rPr>
              <w:t>Move toward last stimulus with increased readiness.</w:t>
            </w:r>
          </w:p>
        </w:tc>
      </w:tr>
      <w:tr>
        <w:tc>
          <w:tcPr>
            <w:tcW w:type="dxa" w:w="1872"/>
            <w:vAlign w:val="top"/>
            <w:tcMar>
              <w:top w:w="90" w:type="dxa"/>
              <w:start w:w="110" w:type="dxa"/>
              <w:bottom w:w="90" w:type="dxa"/>
              <w:end w:w="110" w:type="dxa"/>
            </w:tcMar>
          </w:tcPr>
          <w:p>
            <w:pPr>
              <w:spacing w:after="0"/>
            </w:pPr>
            <w:r>
              <w:rPr>
                <w:sz w:val="18"/>
              </w:rPr>
              <w:t>Combat</w:t>
            </w:r>
          </w:p>
        </w:tc>
        <w:tc>
          <w:tcPr>
            <w:tcW w:type="dxa" w:w="3168"/>
            <w:vAlign w:val="top"/>
            <w:tcMar>
              <w:top w:w="90" w:type="dxa"/>
              <w:start w:w="110" w:type="dxa"/>
              <w:bottom w:w="90" w:type="dxa"/>
              <w:end w:w="110" w:type="dxa"/>
            </w:tcMar>
          </w:tcPr>
          <w:p>
            <w:pPr>
              <w:spacing w:after="0"/>
            </w:pPr>
            <w:r>
              <w:rPr>
                <w:sz w:val="18"/>
              </w:rPr>
              <w:t>Confirmed hostile</w:t>
            </w:r>
          </w:p>
        </w:tc>
        <w:tc>
          <w:tcPr>
            <w:tcW w:type="dxa" w:w="4680"/>
            <w:vAlign w:val="top"/>
            <w:tcMar>
              <w:top w:w="90" w:type="dxa"/>
              <w:start w:w="110" w:type="dxa"/>
              <w:bottom w:w="90" w:type="dxa"/>
              <w:end w:w="110" w:type="dxa"/>
            </w:tcMar>
          </w:tcPr>
          <w:p>
            <w:pPr>
              <w:spacing w:after="0"/>
            </w:pPr>
            <w:r>
              <w:rPr>
                <w:sz w:val="18"/>
              </w:rPr>
              <w:t>Seek range, burst fire, suppress, reposition, claim cover, alert squad.</w:t>
            </w:r>
          </w:p>
        </w:tc>
      </w:tr>
      <w:tr>
        <w:tc>
          <w:tcPr>
            <w:tcW w:type="dxa" w:w="1872"/>
            <w:shd w:fill="F4F6F7"/>
            <w:vAlign w:val="top"/>
            <w:tcMar>
              <w:top w:w="90" w:type="dxa"/>
              <w:start w:w="110" w:type="dxa"/>
              <w:bottom w:w="90" w:type="dxa"/>
              <w:end w:w="110" w:type="dxa"/>
            </w:tcMar>
          </w:tcPr>
          <w:p>
            <w:pPr>
              <w:spacing w:after="0"/>
            </w:pPr>
            <w:r>
              <w:rPr>
                <w:sz w:val="18"/>
              </w:rPr>
              <w:t>Evade explosive</w:t>
            </w:r>
          </w:p>
        </w:tc>
        <w:tc>
          <w:tcPr>
            <w:tcW w:type="dxa" w:w="3168"/>
            <w:shd w:fill="F4F6F7"/>
            <w:vAlign w:val="top"/>
            <w:tcMar>
              <w:top w:w="90" w:type="dxa"/>
              <w:start w:w="110" w:type="dxa"/>
              <w:bottom w:w="90" w:type="dxa"/>
              <w:end w:w="110" w:type="dxa"/>
            </w:tcMar>
          </w:tcPr>
          <w:p>
            <w:pPr>
              <w:spacing w:after="0"/>
            </w:pPr>
            <w:r>
              <w:rPr>
                <w:sz w:val="18"/>
              </w:rPr>
              <w:t>Recognized grenade threat</w:t>
            </w:r>
          </w:p>
        </w:tc>
        <w:tc>
          <w:tcPr>
            <w:tcW w:type="dxa" w:w="4680"/>
            <w:shd w:fill="F4F6F7"/>
            <w:vAlign w:val="top"/>
            <w:tcMar>
              <w:top w:w="90" w:type="dxa"/>
              <w:start w:w="110" w:type="dxa"/>
              <w:bottom w:w="90" w:type="dxa"/>
              <w:end w:w="110" w:type="dxa"/>
            </w:tcMar>
          </w:tcPr>
          <w:p>
            <w:pPr>
              <w:spacing w:after="0"/>
            </w:pPr>
            <w:r>
              <w:rPr>
                <w:sz w:val="18"/>
              </w:rPr>
              <w:t>Break cover logic and move outside danger radius.</w:t>
            </w:r>
          </w:p>
        </w:tc>
      </w:tr>
      <w:tr>
        <w:tc>
          <w:tcPr>
            <w:tcW w:type="dxa" w:w="1872"/>
            <w:vAlign w:val="top"/>
            <w:tcMar>
              <w:top w:w="90" w:type="dxa"/>
              <w:start w:w="110" w:type="dxa"/>
              <w:bottom w:w="90" w:type="dxa"/>
              <w:end w:w="110" w:type="dxa"/>
            </w:tcMar>
          </w:tcPr>
          <w:p>
            <w:pPr>
              <w:spacing w:after="0"/>
            </w:pPr>
            <w:r>
              <w:rPr>
                <w:sz w:val="18"/>
              </w:rPr>
              <w:t>Retreat</w:t>
            </w:r>
          </w:p>
        </w:tc>
        <w:tc>
          <w:tcPr>
            <w:tcW w:type="dxa" w:w="3168"/>
            <w:vAlign w:val="top"/>
            <w:tcMar>
              <w:top w:w="90" w:type="dxa"/>
              <w:start w:w="110" w:type="dxa"/>
              <w:bottom w:w="90" w:type="dxa"/>
              <w:end w:w="110" w:type="dxa"/>
            </w:tcMar>
          </w:tcPr>
          <w:p>
            <w:pPr>
              <w:spacing w:after="0"/>
            </w:pPr>
            <w:r>
              <w:rPr>
                <w:sz w:val="18"/>
              </w:rPr>
              <w:t>Low readiness, ammunition, morale, or tactical disadvantage</w:t>
            </w:r>
          </w:p>
        </w:tc>
        <w:tc>
          <w:tcPr>
            <w:tcW w:type="dxa" w:w="4680"/>
            <w:vAlign w:val="top"/>
            <w:tcMar>
              <w:top w:w="90" w:type="dxa"/>
              <w:start w:w="110" w:type="dxa"/>
              <w:bottom w:w="90" w:type="dxa"/>
              <w:end w:w="110" w:type="dxa"/>
            </w:tcMar>
          </w:tcPr>
          <w:p>
            <w:pPr>
              <w:spacing w:after="0"/>
            </w:pPr>
            <w:r>
              <w:rPr>
                <w:sz w:val="18"/>
              </w:rPr>
              <w:t>Withdraw to safer position or supply.</w:t>
            </w:r>
          </w:p>
        </w:tc>
      </w:tr>
      <w:tr>
        <w:tc>
          <w:tcPr>
            <w:tcW w:type="dxa" w:w="1872"/>
            <w:shd w:fill="F4F6F7"/>
            <w:vAlign w:val="top"/>
            <w:tcMar>
              <w:top w:w="90" w:type="dxa"/>
              <w:start w:w="110" w:type="dxa"/>
              <w:bottom w:w="90" w:type="dxa"/>
              <w:end w:w="110" w:type="dxa"/>
            </w:tcMar>
          </w:tcPr>
          <w:p>
            <w:pPr>
              <w:spacing w:after="0"/>
            </w:pPr>
            <w:r>
              <w:rPr>
                <w:sz w:val="18"/>
              </w:rPr>
              <w:t>Search</w:t>
            </w:r>
          </w:p>
        </w:tc>
        <w:tc>
          <w:tcPr>
            <w:tcW w:type="dxa" w:w="3168"/>
            <w:shd w:fill="F4F6F7"/>
            <w:vAlign w:val="top"/>
            <w:tcMar>
              <w:top w:w="90" w:type="dxa"/>
              <w:start w:w="110" w:type="dxa"/>
              <w:bottom w:w="90" w:type="dxa"/>
              <w:end w:w="110" w:type="dxa"/>
            </w:tcMar>
          </w:tcPr>
          <w:p>
            <w:pPr>
              <w:spacing w:after="0"/>
            </w:pPr>
            <w:r>
              <w:rPr>
                <w:sz w:val="18"/>
              </w:rPr>
              <w:t>Lost target</w:t>
            </w:r>
          </w:p>
        </w:tc>
        <w:tc>
          <w:tcPr>
            <w:tcW w:type="dxa" w:w="4680"/>
            <w:shd w:fill="F4F6F7"/>
            <w:vAlign w:val="top"/>
            <w:tcMar>
              <w:top w:w="90" w:type="dxa"/>
              <w:start w:w="110" w:type="dxa"/>
              <w:bottom w:w="90" w:type="dxa"/>
              <w:end w:w="110" w:type="dxa"/>
            </w:tcMar>
          </w:tcPr>
          <w:p>
            <w:pPr>
              <w:spacing w:after="0"/>
            </w:pPr>
            <w:r>
              <w:rPr>
                <w:sz w:val="18"/>
              </w:rPr>
              <w:t>Sweep last-known area for a limited duration.</w:t>
            </w:r>
          </w:p>
        </w:tc>
      </w:tr>
      <w:tr>
        <w:tc>
          <w:tcPr>
            <w:tcW w:type="dxa" w:w="1872"/>
            <w:vAlign w:val="top"/>
            <w:tcMar>
              <w:top w:w="90" w:type="dxa"/>
              <w:start w:w="110" w:type="dxa"/>
              <w:bottom w:w="90" w:type="dxa"/>
              <w:end w:w="110" w:type="dxa"/>
            </w:tcMar>
          </w:tcPr>
          <w:p>
            <w:pPr>
              <w:spacing w:after="0"/>
            </w:pPr>
            <w:r>
              <w:rPr>
                <w:sz w:val="18"/>
              </w:rPr>
              <w:t>Return</w:t>
            </w:r>
          </w:p>
        </w:tc>
        <w:tc>
          <w:tcPr>
            <w:tcW w:type="dxa" w:w="3168"/>
            <w:vAlign w:val="top"/>
            <w:tcMar>
              <w:top w:w="90" w:type="dxa"/>
              <w:start w:w="110" w:type="dxa"/>
              <w:bottom w:w="90" w:type="dxa"/>
              <w:end w:w="110" w:type="dxa"/>
            </w:tcMar>
          </w:tcPr>
          <w:p>
            <w:pPr>
              <w:spacing w:after="0"/>
            </w:pPr>
            <w:r>
              <w:rPr>
                <w:sz w:val="18"/>
              </w:rPr>
              <w:t>Search exhausted</w:t>
            </w:r>
          </w:p>
        </w:tc>
        <w:tc>
          <w:tcPr>
            <w:tcW w:type="dxa" w:w="4680"/>
            <w:vAlign w:val="top"/>
            <w:tcMar>
              <w:top w:w="90" w:type="dxa"/>
              <w:start w:w="110" w:type="dxa"/>
              <w:bottom w:w="90" w:type="dxa"/>
              <w:end w:w="110" w:type="dxa"/>
            </w:tcMar>
          </w:tcPr>
          <w:p>
            <w:pPr>
              <w:spacing w:after="0"/>
            </w:pPr>
            <w:r>
              <w:rPr>
                <w:sz w:val="18"/>
              </w:rPr>
              <w:t>Rejoin patrol or assigned posture.</w:t>
            </w:r>
          </w:p>
        </w:tc>
      </w:tr>
      <w:tr>
        <w:tc>
          <w:tcPr>
            <w:tcW w:type="dxa" w:w="1872"/>
            <w:shd w:fill="F4F6F7"/>
            <w:vAlign w:val="top"/>
            <w:tcMar>
              <w:top w:w="90" w:type="dxa"/>
              <w:start w:w="110" w:type="dxa"/>
              <w:bottom w:w="90" w:type="dxa"/>
              <w:end w:w="110" w:type="dxa"/>
            </w:tcMar>
          </w:tcPr>
          <w:p>
            <w:pPr>
              <w:spacing w:after="0"/>
            </w:pPr>
            <w:r>
              <w:rPr>
                <w:sz w:val="18"/>
              </w:rPr>
              <w:t>Dead/incapacitated</w:t>
            </w:r>
          </w:p>
        </w:tc>
        <w:tc>
          <w:tcPr>
            <w:tcW w:type="dxa" w:w="3168"/>
            <w:shd w:fill="F4F6F7"/>
            <w:vAlign w:val="top"/>
            <w:tcMar>
              <w:top w:w="90" w:type="dxa"/>
              <w:start w:w="110" w:type="dxa"/>
              <w:bottom w:w="90" w:type="dxa"/>
              <w:end w:w="110" w:type="dxa"/>
            </w:tcMar>
          </w:tcPr>
          <w:p>
            <w:pPr>
              <w:spacing w:after="0"/>
            </w:pPr>
            <w:r>
              <w:rPr>
                <w:sz w:val="18"/>
              </w:rPr>
              <w:t>Health outcome</w:t>
            </w:r>
          </w:p>
        </w:tc>
        <w:tc>
          <w:tcPr>
            <w:tcW w:type="dxa" w:w="4680"/>
            <w:shd w:fill="F4F6F7"/>
            <w:vAlign w:val="top"/>
            <w:tcMar>
              <w:top w:w="90" w:type="dxa"/>
              <w:start w:w="110" w:type="dxa"/>
              <w:bottom w:w="90" w:type="dxa"/>
              <w:end w:w="110" w:type="dxa"/>
            </w:tcMar>
          </w:tcPr>
          <w:p>
            <w:pPr>
              <w:spacing w:after="0"/>
            </w:pPr>
            <w:r>
              <w:rPr>
                <w:sz w:val="18"/>
              </w:rPr>
              <w:t>Stop combat contribution; persist casualty consequences.</w:t>
            </w:r>
          </w:p>
        </w:tc>
      </w:tr>
    </w:tbl>
    <w:p>
      <w:pPr>
        <w:spacing w:after="0"/>
      </w:pPr>
    </w:p>
    <w:p>
      <w:pPr>
        <w:pStyle w:val="Heading2"/>
      </w:pPr>
      <w:r>
        <w:t>Perception and Engagement Baseline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168"/>
            <w:shd w:fill="162735"/>
            <w:vAlign w:val="center"/>
            <w:tcMar>
              <w:top w:w="90" w:type="dxa"/>
              <w:start w:w="110" w:type="dxa"/>
              <w:bottom w:w="90" w:type="dxa"/>
              <w:end w:w="110" w:type="dxa"/>
            </w:tcMar>
          </w:tcPr>
          <w:p>
            <w:r>
              <w:rPr>
                <w:b/>
                <w:color w:val="FFFFFF"/>
                <w:sz w:val="18"/>
              </w:rPr>
              <w:t>Parameter</w:t>
            </w:r>
          </w:p>
        </w:tc>
        <w:tc>
          <w:tcPr>
            <w:tcW w:type="dxa" w:w="6552"/>
            <w:shd w:fill="162735"/>
            <w:vAlign w:val="center"/>
            <w:tcMar>
              <w:top w:w="90" w:type="dxa"/>
              <w:start w:w="110" w:type="dxa"/>
              <w:bottom w:w="90" w:type="dxa"/>
              <w:end w:w="110" w:type="dxa"/>
            </w:tcMar>
          </w:tcPr>
          <w:p>
            <w:r>
              <w:rPr>
                <w:b/>
                <w:color w:val="FFFFFF"/>
                <w:sz w:val="18"/>
              </w:rPr>
              <w:t>Baseline</w:t>
            </w:r>
          </w:p>
        </w:tc>
      </w:tr>
      <w:tr>
        <w:tc>
          <w:tcPr>
            <w:tcW w:type="dxa" w:w="3168"/>
            <w:vAlign w:val="top"/>
            <w:tcMar>
              <w:top w:w="90" w:type="dxa"/>
              <w:start w:w="110" w:type="dxa"/>
              <w:bottom w:w="90" w:type="dxa"/>
              <w:end w:w="110" w:type="dxa"/>
            </w:tcMar>
          </w:tcPr>
          <w:p>
            <w:pPr>
              <w:spacing w:after="0"/>
            </w:pPr>
            <w:r>
              <w:rPr>
                <w:sz w:val="18"/>
              </w:rPr>
              <w:t>Sight / lose sight</w:t>
            </w:r>
          </w:p>
        </w:tc>
        <w:tc>
          <w:tcPr>
            <w:tcW w:type="dxa" w:w="6552"/>
            <w:vAlign w:val="top"/>
            <w:tcMar>
              <w:top w:w="90" w:type="dxa"/>
              <w:start w:w="110" w:type="dxa"/>
              <w:bottom w:w="90" w:type="dxa"/>
              <w:end w:w="110" w:type="dxa"/>
            </w:tcMar>
          </w:tcPr>
          <w:p>
            <w:pPr>
              <w:spacing w:after="0"/>
            </w:pPr>
            <w:r>
              <w:rPr>
                <w:sz w:val="18"/>
              </w:rPr>
              <w:t>25 m / 30 m</w:t>
            </w:r>
          </w:p>
        </w:tc>
      </w:tr>
      <w:tr>
        <w:tc>
          <w:tcPr>
            <w:tcW w:type="dxa" w:w="3168"/>
            <w:shd w:fill="F4F6F7"/>
            <w:vAlign w:val="top"/>
            <w:tcMar>
              <w:top w:w="90" w:type="dxa"/>
              <w:start w:w="110" w:type="dxa"/>
              <w:bottom w:w="90" w:type="dxa"/>
              <w:end w:w="110" w:type="dxa"/>
            </w:tcMar>
          </w:tcPr>
          <w:p>
            <w:pPr>
              <w:spacing w:after="0"/>
            </w:pPr>
            <w:r>
              <w:rPr>
                <w:sz w:val="18"/>
              </w:rPr>
              <w:t>Peripheral vision</w:t>
            </w:r>
          </w:p>
        </w:tc>
        <w:tc>
          <w:tcPr>
            <w:tcW w:type="dxa" w:w="6552"/>
            <w:shd w:fill="F4F6F7"/>
            <w:vAlign w:val="top"/>
            <w:tcMar>
              <w:top w:w="90" w:type="dxa"/>
              <w:start w:w="110" w:type="dxa"/>
              <w:bottom w:w="90" w:type="dxa"/>
              <w:end w:w="110" w:type="dxa"/>
            </w:tcMar>
          </w:tcPr>
          <w:p>
            <w:pPr>
              <w:spacing w:after="0"/>
            </w:pPr>
            <w:r>
              <w:rPr>
                <w:sz w:val="18"/>
              </w:rPr>
              <w:t>70 degrees</w:t>
            </w:r>
          </w:p>
        </w:tc>
      </w:tr>
      <w:tr>
        <w:tc>
          <w:tcPr>
            <w:tcW w:type="dxa" w:w="3168"/>
            <w:vAlign w:val="top"/>
            <w:tcMar>
              <w:top w:w="90" w:type="dxa"/>
              <w:start w:w="110" w:type="dxa"/>
              <w:bottom w:w="90" w:type="dxa"/>
              <w:end w:w="110" w:type="dxa"/>
            </w:tcMar>
          </w:tcPr>
          <w:p>
            <w:pPr>
              <w:spacing w:after="0"/>
            </w:pPr>
            <w:r>
              <w:rPr>
                <w:sz w:val="18"/>
              </w:rPr>
              <w:t>Sight memory</w:t>
            </w:r>
          </w:p>
        </w:tc>
        <w:tc>
          <w:tcPr>
            <w:tcW w:type="dxa" w:w="6552"/>
            <w:vAlign w:val="top"/>
            <w:tcMar>
              <w:top w:w="90" w:type="dxa"/>
              <w:start w:w="110" w:type="dxa"/>
              <w:bottom w:w="90" w:type="dxa"/>
              <w:end w:w="110" w:type="dxa"/>
            </w:tcMar>
          </w:tcPr>
          <w:p>
            <w:pPr>
              <w:spacing w:after="0"/>
            </w:pPr>
            <w:r>
              <w:rPr>
                <w:sz w:val="18"/>
              </w:rPr>
              <w:t>2 seconds</w:t>
            </w:r>
          </w:p>
        </w:tc>
      </w:tr>
      <w:tr>
        <w:tc>
          <w:tcPr>
            <w:tcW w:type="dxa" w:w="3168"/>
            <w:shd w:fill="F4F6F7"/>
            <w:vAlign w:val="top"/>
            <w:tcMar>
              <w:top w:w="90" w:type="dxa"/>
              <w:start w:w="110" w:type="dxa"/>
              <w:bottom w:w="90" w:type="dxa"/>
              <w:end w:w="110" w:type="dxa"/>
            </w:tcMar>
          </w:tcPr>
          <w:p>
            <w:pPr>
              <w:spacing w:after="0"/>
            </w:pPr>
            <w:r>
              <w:rPr>
                <w:sz w:val="18"/>
              </w:rPr>
              <w:t>Hearing / memory</w:t>
            </w:r>
          </w:p>
        </w:tc>
        <w:tc>
          <w:tcPr>
            <w:tcW w:type="dxa" w:w="6552"/>
            <w:shd w:fill="F4F6F7"/>
            <w:vAlign w:val="top"/>
            <w:tcMar>
              <w:top w:w="90" w:type="dxa"/>
              <w:start w:w="110" w:type="dxa"/>
              <w:bottom w:w="90" w:type="dxa"/>
              <w:end w:w="110" w:type="dxa"/>
            </w:tcMar>
          </w:tcPr>
          <w:p>
            <w:pPr>
              <w:spacing w:after="0"/>
            </w:pPr>
            <w:r>
              <w:rPr>
                <w:sz w:val="18"/>
              </w:rPr>
              <w:t>35 m / 4 seconds</w:t>
            </w:r>
          </w:p>
        </w:tc>
      </w:tr>
      <w:tr>
        <w:tc>
          <w:tcPr>
            <w:tcW w:type="dxa" w:w="3168"/>
            <w:vAlign w:val="top"/>
            <w:tcMar>
              <w:top w:w="90" w:type="dxa"/>
              <w:start w:w="110" w:type="dxa"/>
              <w:bottom w:w="90" w:type="dxa"/>
              <w:end w:w="110" w:type="dxa"/>
            </w:tcMar>
          </w:tcPr>
          <w:p>
            <w:pPr>
              <w:spacing w:after="0"/>
            </w:pPr>
            <w:r>
              <w:rPr>
                <w:sz w:val="18"/>
              </w:rPr>
              <w:t>Squad alert</w:t>
            </w:r>
          </w:p>
        </w:tc>
        <w:tc>
          <w:tcPr>
            <w:tcW w:type="dxa" w:w="6552"/>
            <w:vAlign w:val="top"/>
            <w:tcMar>
              <w:top w:w="90" w:type="dxa"/>
              <w:start w:w="110" w:type="dxa"/>
              <w:bottom w:w="90" w:type="dxa"/>
              <w:end w:w="110" w:type="dxa"/>
            </w:tcMar>
          </w:tcPr>
          <w:p>
            <w:pPr>
              <w:spacing w:after="0"/>
            </w:pPr>
            <w:r>
              <w:rPr>
                <w:sz w:val="18"/>
              </w:rPr>
              <w:t>24 m</w:t>
            </w:r>
          </w:p>
        </w:tc>
      </w:tr>
      <w:tr>
        <w:tc>
          <w:tcPr>
            <w:tcW w:type="dxa" w:w="3168"/>
            <w:shd w:fill="F4F6F7"/>
            <w:vAlign w:val="top"/>
            <w:tcMar>
              <w:top w:w="90" w:type="dxa"/>
              <w:start w:w="110" w:type="dxa"/>
              <w:bottom w:w="90" w:type="dxa"/>
              <w:end w:w="110" w:type="dxa"/>
            </w:tcMar>
          </w:tcPr>
          <w:p>
            <w:pPr>
              <w:spacing w:after="0"/>
            </w:pPr>
            <w:r>
              <w:rPr>
                <w:sz w:val="18"/>
              </w:rPr>
              <w:t>Preferred engagement</w:t>
            </w:r>
          </w:p>
        </w:tc>
        <w:tc>
          <w:tcPr>
            <w:tcW w:type="dxa" w:w="6552"/>
            <w:shd w:fill="F4F6F7"/>
            <w:vAlign w:val="top"/>
            <w:tcMar>
              <w:top w:w="90" w:type="dxa"/>
              <w:start w:w="110" w:type="dxa"/>
              <w:bottom w:w="90" w:type="dxa"/>
              <w:end w:w="110" w:type="dxa"/>
            </w:tcMar>
          </w:tcPr>
          <w:p>
            <w:pPr>
              <w:spacing w:after="0"/>
            </w:pPr>
            <w:r>
              <w:rPr>
                <w:sz w:val="18"/>
              </w:rPr>
              <w:t>12 m; minimum 5.5 m; maximum 25 m</w:t>
            </w:r>
          </w:p>
        </w:tc>
      </w:tr>
      <w:tr>
        <w:tc>
          <w:tcPr>
            <w:tcW w:type="dxa" w:w="3168"/>
            <w:vAlign w:val="top"/>
            <w:tcMar>
              <w:top w:w="90" w:type="dxa"/>
              <w:start w:w="110" w:type="dxa"/>
              <w:bottom w:w="90" w:type="dxa"/>
              <w:end w:w="110" w:type="dxa"/>
            </w:tcMar>
          </w:tcPr>
          <w:p>
            <w:pPr>
              <w:spacing w:after="0"/>
            </w:pPr>
            <w:r>
              <w:rPr>
                <w:sz w:val="18"/>
              </w:rPr>
              <w:t>Burst pattern</w:t>
            </w:r>
          </w:p>
        </w:tc>
        <w:tc>
          <w:tcPr>
            <w:tcW w:type="dxa" w:w="6552"/>
            <w:vAlign w:val="top"/>
            <w:tcMar>
              <w:top w:w="90" w:type="dxa"/>
              <w:start w:w="110" w:type="dxa"/>
              <w:bottom w:w="90" w:type="dxa"/>
              <w:end w:w="110" w:type="dxa"/>
            </w:tcMar>
          </w:tcPr>
          <w:p>
            <w:pPr>
              <w:spacing w:after="0"/>
            </w:pPr>
            <w:r>
              <w:rPr>
                <w:sz w:val="18"/>
              </w:rPr>
              <w:t>2-4 rounds; 1.5-2.25 second recovery</w:t>
            </w:r>
          </w:p>
        </w:tc>
      </w:tr>
    </w:tbl>
    <w:p>
      <w:pPr>
        <w:spacing w:after="0"/>
      </w:pPr>
    </w:p>
    <w:p>
      <w:pPr>
        <w:pStyle w:val="Heading2"/>
      </w:pPr>
      <w:r>
        <w:t>AI Design Requirements</w:t>
      </w:r>
    </w:p>
    <w:p>
      <w:pPr>
        <w:pStyle w:val="ListBullet"/>
      </w:pPr>
      <w:r>
        <w:t>AI must telegraph state changes with posture, voice, movement, and weapon readiness.</w:t>
      </w:r>
    </w:p>
    <w:p>
      <w:pPr>
        <w:pStyle w:val="ListBullet"/>
      </w:pPr>
      <w:r>
        <w:t>Cover is claimed and released; multiple soldiers should not occupy the same anchor.</w:t>
      </w:r>
    </w:p>
    <w:p>
      <w:pPr>
        <w:pStyle w:val="ListBullet"/>
      </w:pPr>
      <w:r>
        <w:t>Suppression reduces tactical quality without hard-stunning enemies.</w:t>
      </w:r>
    </w:p>
    <w:p>
      <w:pPr>
        <w:pStyle w:val="ListBullet"/>
      </w:pPr>
      <w:r>
        <w:t>Squad alerts share actionable information, not perfect omniscience.</w:t>
      </w:r>
    </w:p>
    <w:p>
      <w:pPr>
        <w:pStyle w:val="ListBullet"/>
      </w:pPr>
      <w:r>
        <w:t>Friendly and hostile soldiers use the same core combat rules where practical.</w:t>
      </w:r>
    </w:p>
    <w:p>
      <w:pPr>
        <w:pStyle w:val="ListBullet"/>
      </w:pPr>
      <w:r>
        <w:t>Navigation failure must degrade to a safe hold/search behavior, never silent immobility.</w:t>
      </w:r>
    </w:p>
    <w:p>
      <w:pPr>
        <w:pStyle w:val="Heading2"/>
      </w:pPr>
      <w:r>
        <w:t>Morale and Readiness</w:t>
      </w:r>
    </w:p>
    <w:p>
      <w:r>
        <w:t>Combat readiness represents cohesion, ammunition confidence, recent casualty shock, and ability to execute. It should modify spread, burst timing, willingness to expose, and rout probability. Enemies route rather than fight to extinction when force preservation is plausible. Routed enemies count differently from killed enemies in mission scoring and future force availability.</w:t>
      </w:r>
    </w:p>
    <w:p>
      <w:pPr>
        <w:pStyle w:val="Heading2"/>
      </w:pPr>
      <w:r>
        <w:t>Field Squad Command</w:t>
      </w:r>
    </w:p>
    <w:p>
      <w:r>
        <w:t>Human players form the core cooperative squad. In addition, an authorized player can lead up to three recruited AI field soldiers. Commands are intentionally small: Follow, Hold, Move-and-Hold, Board/Disembark, and Context Action. Command ownership must be visible and conflict-safe so two players cannot silently overwrite the same AI order.</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162735"/>
            <w:vAlign w:val="center"/>
            <w:tcMar>
              <w:top w:w="90" w:type="dxa"/>
              <w:start w:w="110" w:type="dxa"/>
              <w:bottom w:w="90" w:type="dxa"/>
              <w:end w:w="110" w:type="dxa"/>
            </w:tcMar>
          </w:tcPr>
          <w:p>
            <w:r>
              <w:rPr>
                <w:b/>
                <w:color w:val="FFFFFF"/>
                <w:sz w:val="18"/>
              </w:rPr>
              <w:t>Command</w:t>
            </w:r>
          </w:p>
        </w:tc>
        <w:tc>
          <w:tcPr>
            <w:tcW w:type="dxa" w:w="3024"/>
            <w:shd w:fill="162735"/>
            <w:vAlign w:val="center"/>
            <w:tcMar>
              <w:top w:w="90" w:type="dxa"/>
              <w:start w:w="110" w:type="dxa"/>
              <w:bottom w:w="90" w:type="dxa"/>
              <w:end w:w="110" w:type="dxa"/>
            </w:tcMar>
          </w:tcPr>
          <w:p>
            <w:r>
              <w:rPr>
                <w:b/>
                <w:color w:val="FFFFFF"/>
                <w:sz w:val="18"/>
              </w:rPr>
              <w:t>Input expectation</w:t>
            </w:r>
          </w:p>
        </w:tc>
        <w:tc>
          <w:tcPr>
            <w:tcW w:type="dxa" w:w="4608"/>
            <w:shd w:fill="162735"/>
            <w:vAlign w:val="center"/>
            <w:tcMar>
              <w:top w:w="90" w:type="dxa"/>
              <w:start w:w="110" w:type="dxa"/>
              <w:bottom w:w="90" w:type="dxa"/>
              <w:end w:w="110" w:type="dxa"/>
            </w:tcMar>
          </w:tcPr>
          <w:p>
            <w:r>
              <w:rPr>
                <w:b/>
                <w:color w:val="FFFFFF"/>
                <w:sz w:val="18"/>
              </w:rPr>
              <w:t>AI obligation</w:t>
            </w:r>
          </w:p>
        </w:tc>
      </w:tr>
      <w:tr>
        <w:tc>
          <w:tcPr>
            <w:tcW w:type="dxa" w:w="1944"/>
            <w:vAlign w:val="top"/>
            <w:tcMar>
              <w:top w:w="90" w:type="dxa"/>
              <w:start w:w="110" w:type="dxa"/>
              <w:bottom w:w="90" w:type="dxa"/>
              <w:end w:w="110" w:type="dxa"/>
            </w:tcMar>
          </w:tcPr>
          <w:p>
            <w:pPr>
              <w:spacing w:after="0"/>
            </w:pPr>
            <w:r>
              <w:rPr>
                <w:sz w:val="18"/>
              </w:rPr>
              <w:t>Follow</w:t>
            </w:r>
          </w:p>
        </w:tc>
        <w:tc>
          <w:tcPr>
            <w:tcW w:type="dxa" w:w="3024"/>
            <w:vAlign w:val="top"/>
            <w:tcMar>
              <w:top w:w="90" w:type="dxa"/>
              <w:start w:w="110" w:type="dxa"/>
              <w:bottom w:w="90" w:type="dxa"/>
              <w:end w:w="110" w:type="dxa"/>
            </w:tcMar>
          </w:tcPr>
          <w:p>
            <w:pPr>
              <w:spacing w:after="0"/>
            </w:pPr>
            <w:r>
              <w:rPr>
                <w:sz w:val="18"/>
              </w:rPr>
              <w:t>One-step selection</w:t>
            </w:r>
          </w:p>
        </w:tc>
        <w:tc>
          <w:tcPr>
            <w:tcW w:type="dxa" w:w="4608"/>
            <w:vAlign w:val="top"/>
            <w:tcMar>
              <w:top w:w="90" w:type="dxa"/>
              <w:start w:w="110" w:type="dxa"/>
              <w:bottom w:w="90" w:type="dxa"/>
              <w:end w:w="110" w:type="dxa"/>
            </w:tcMar>
          </w:tcPr>
          <w:p>
            <w:pPr>
              <w:spacing w:after="0"/>
            </w:pPr>
            <w:r>
              <w:rPr>
                <w:sz w:val="18"/>
              </w:rPr>
              <w:t>Maintain formation offset, catch up, avoid blocking sightline.</w:t>
            </w:r>
          </w:p>
        </w:tc>
      </w:tr>
      <w:tr>
        <w:tc>
          <w:tcPr>
            <w:tcW w:type="dxa" w:w="1944"/>
            <w:shd w:fill="F4F6F7"/>
            <w:vAlign w:val="top"/>
            <w:tcMar>
              <w:top w:w="90" w:type="dxa"/>
              <w:start w:w="110" w:type="dxa"/>
              <w:bottom w:w="90" w:type="dxa"/>
              <w:end w:w="110" w:type="dxa"/>
            </w:tcMar>
          </w:tcPr>
          <w:p>
            <w:pPr>
              <w:spacing w:after="0"/>
            </w:pPr>
            <w:r>
              <w:rPr>
                <w:sz w:val="18"/>
              </w:rPr>
              <w:t>Hold</w:t>
            </w:r>
          </w:p>
        </w:tc>
        <w:tc>
          <w:tcPr>
            <w:tcW w:type="dxa" w:w="3024"/>
            <w:shd w:fill="F4F6F7"/>
            <w:vAlign w:val="top"/>
            <w:tcMar>
              <w:top w:w="90" w:type="dxa"/>
              <w:start w:w="110" w:type="dxa"/>
              <w:bottom w:w="90" w:type="dxa"/>
              <w:end w:w="110" w:type="dxa"/>
            </w:tcMar>
          </w:tcPr>
          <w:p>
            <w:pPr>
              <w:spacing w:after="0"/>
            </w:pPr>
            <w:r>
              <w:rPr>
                <w:sz w:val="18"/>
              </w:rPr>
              <w:t>One-step toggle</w:t>
            </w:r>
          </w:p>
        </w:tc>
        <w:tc>
          <w:tcPr>
            <w:tcW w:type="dxa" w:w="4608"/>
            <w:shd w:fill="F4F6F7"/>
            <w:vAlign w:val="top"/>
            <w:tcMar>
              <w:top w:w="90" w:type="dxa"/>
              <w:start w:w="110" w:type="dxa"/>
              <w:bottom w:w="90" w:type="dxa"/>
              <w:end w:w="110" w:type="dxa"/>
            </w:tcMar>
          </w:tcPr>
          <w:p>
            <w:pPr>
              <w:spacing w:after="0"/>
            </w:pPr>
            <w:r>
              <w:rPr>
                <w:sz w:val="18"/>
              </w:rPr>
              <w:t>Use nearby cover while preserving the ordered area.</w:t>
            </w:r>
          </w:p>
        </w:tc>
      </w:tr>
      <w:tr>
        <w:tc>
          <w:tcPr>
            <w:tcW w:type="dxa" w:w="1944"/>
            <w:vAlign w:val="top"/>
            <w:tcMar>
              <w:top w:w="90" w:type="dxa"/>
              <w:start w:w="110" w:type="dxa"/>
              <w:bottom w:w="90" w:type="dxa"/>
              <w:end w:w="110" w:type="dxa"/>
            </w:tcMar>
          </w:tcPr>
          <w:p>
            <w:pPr>
              <w:spacing w:after="0"/>
            </w:pPr>
            <w:r>
              <w:rPr>
                <w:sz w:val="18"/>
              </w:rPr>
              <w:t>Move-and-Hold</w:t>
            </w:r>
          </w:p>
        </w:tc>
        <w:tc>
          <w:tcPr>
            <w:tcW w:type="dxa" w:w="3024"/>
            <w:vAlign w:val="top"/>
            <w:tcMar>
              <w:top w:w="90" w:type="dxa"/>
              <w:start w:w="110" w:type="dxa"/>
              <w:bottom w:w="90" w:type="dxa"/>
              <w:end w:w="110" w:type="dxa"/>
            </w:tcMar>
          </w:tcPr>
          <w:p>
            <w:pPr>
              <w:spacing w:after="0"/>
            </w:pPr>
            <w:r>
              <w:rPr>
                <w:sz w:val="18"/>
              </w:rPr>
              <w:t>Aim at location and confirm</w:t>
            </w:r>
          </w:p>
        </w:tc>
        <w:tc>
          <w:tcPr>
            <w:tcW w:type="dxa" w:w="4608"/>
            <w:vAlign w:val="top"/>
            <w:tcMar>
              <w:top w:w="90" w:type="dxa"/>
              <w:start w:w="110" w:type="dxa"/>
              <w:bottom w:w="90" w:type="dxa"/>
              <w:end w:w="110" w:type="dxa"/>
            </w:tcMar>
          </w:tcPr>
          <w:p>
            <w:pPr>
              <w:spacing w:after="0"/>
            </w:pPr>
            <w:r>
              <w:rPr>
                <w:sz w:val="18"/>
              </w:rPr>
              <w:t>Path to valid point, face command yaw, report failure.</w:t>
            </w:r>
          </w:p>
        </w:tc>
      </w:tr>
      <w:tr>
        <w:tc>
          <w:tcPr>
            <w:tcW w:type="dxa" w:w="1944"/>
            <w:shd w:fill="F4F6F7"/>
            <w:vAlign w:val="top"/>
            <w:tcMar>
              <w:top w:w="90" w:type="dxa"/>
              <w:start w:w="110" w:type="dxa"/>
              <w:bottom w:w="90" w:type="dxa"/>
              <w:end w:w="110" w:type="dxa"/>
            </w:tcMar>
          </w:tcPr>
          <w:p>
            <w:pPr>
              <w:spacing w:after="0"/>
            </w:pPr>
            <w:r>
              <w:rPr>
                <w:sz w:val="18"/>
              </w:rPr>
              <w:t>Board</w:t>
            </w:r>
          </w:p>
        </w:tc>
        <w:tc>
          <w:tcPr>
            <w:tcW w:type="dxa" w:w="3024"/>
            <w:shd w:fill="F4F6F7"/>
            <w:vAlign w:val="top"/>
            <w:tcMar>
              <w:top w:w="90" w:type="dxa"/>
              <w:start w:w="110" w:type="dxa"/>
              <w:bottom w:w="90" w:type="dxa"/>
              <w:end w:w="110" w:type="dxa"/>
            </w:tcMar>
          </w:tcPr>
          <w:p>
            <w:pPr>
              <w:spacing w:after="0"/>
            </w:pPr>
            <w:r>
              <w:rPr>
                <w:sz w:val="18"/>
              </w:rPr>
              <w:t>Context near transport</w:t>
            </w:r>
          </w:p>
        </w:tc>
        <w:tc>
          <w:tcPr>
            <w:tcW w:type="dxa" w:w="4608"/>
            <w:shd w:fill="F4F6F7"/>
            <w:vAlign w:val="top"/>
            <w:tcMar>
              <w:top w:w="90" w:type="dxa"/>
              <w:start w:w="110" w:type="dxa"/>
              <w:bottom w:w="90" w:type="dxa"/>
              <w:end w:w="110" w:type="dxa"/>
            </w:tcMar>
          </w:tcPr>
          <w:p>
            <w:pPr>
              <w:spacing w:after="0"/>
            </w:pPr>
            <w:r>
              <w:rPr>
                <w:sz w:val="18"/>
              </w:rPr>
              <w:t>Reserve seat, path, mount, and persist assignment.</w:t>
            </w:r>
          </w:p>
        </w:tc>
      </w:tr>
      <w:tr>
        <w:tc>
          <w:tcPr>
            <w:tcW w:type="dxa" w:w="1944"/>
            <w:vAlign w:val="top"/>
            <w:tcMar>
              <w:top w:w="90" w:type="dxa"/>
              <w:start w:w="110" w:type="dxa"/>
              <w:bottom w:w="90" w:type="dxa"/>
              <w:end w:w="110" w:type="dxa"/>
            </w:tcMar>
          </w:tcPr>
          <w:p>
            <w:pPr>
              <w:spacing w:after="0"/>
            </w:pPr>
            <w:r>
              <w:rPr>
                <w:sz w:val="18"/>
              </w:rPr>
              <w:t>Context</w:t>
            </w:r>
          </w:p>
        </w:tc>
        <w:tc>
          <w:tcPr>
            <w:tcW w:type="dxa" w:w="3024"/>
            <w:vAlign w:val="top"/>
            <w:tcMar>
              <w:top w:w="90" w:type="dxa"/>
              <w:start w:w="110" w:type="dxa"/>
              <w:bottom w:w="90" w:type="dxa"/>
              <w:end w:w="110" w:type="dxa"/>
            </w:tcMar>
          </w:tcPr>
          <w:p>
            <w:pPr>
              <w:spacing w:after="0"/>
            </w:pPr>
            <w:r>
              <w:rPr>
                <w:sz w:val="18"/>
              </w:rPr>
              <w:t>Target ally/objective</w:t>
            </w:r>
          </w:p>
        </w:tc>
        <w:tc>
          <w:tcPr>
            <w:tcW w:type="dxa" w:w="4608"/>
            <w:vAlign w:val="top"/>
            <w:tcMar>
              <w:top w:w="90" w:type="dxa"/>
              <w:start w:w="110" w:type="dxa"/>
              <w:bottom w:w="90" w:type="dxa"/>
              <w:end w:w="110" w:type="dxa"/>
            </w:tcMar>
          </w:tcPr>
          <w:p>
            <w:pPr>
              <w:spacing w:after="0"/>
            </w:pPr>
            <w:r>
              <w:rPr>
                <w:sz w:val="18"/>
              </w:rPr>
              <w:t>Revive, secure, sabotage, or defend when supported.</w:t>
            </w:r>
          </w:p>
        </w:tc>
      </w:tr>
    </w:tbl>
    <w:p>
      <w:pPr>
        <w:spacing w:after="0"/>
      </w:pPr>
    </w:p>
    <w:p>
      <w:pPr>
        <w:pStyle w:val="Heading1"/>
      </w:pPr>
      <w:r>
        <w:t>Module Exit Checklist</w:t>
      </w:r>
    </w:p>
    <w:p>
      <w:pPr>
        <w:pStyle w:val="ListBullet"/>
      </w:pPr>
      <w:r>
        <w:t>The module can be read without another file to understand its owned decisions.</w:t>
      </w:r>
    </w:p>
    <w:p>
      <w:pPr>
        <w:pStyle w:val="ListBullet"/>
      </w:pPr>
      <w:r>
        <w:t>Every external dependency is named in the header and not silently duplicated.</w:t>
      </w:r>
    </w:p>
    <w:p>
      <w:pPr>
        <w:pStyle w:val="ListBullet"/>
      </w:pPr>
      <w:r>
        <w:t>Every published interface uses stable terminology consistent with the master index.</w:t>
      </w:r>
    </w:p>
    <w:p>
      <w:pPr>
        <w:pStyle w:val="ListBullet"/>
      </w:pPr>
      <w:r>
        <w:t>Multiplayer authority, replication, reconnect, and persistence implications are addressed where relevant.</w:t>
      </w:r>
    </w:p>
    <w:p>
      <w:pPr>
        <w:pStyle w:val="ListBullet"/>
      </w:pPr>
      <w:r>
        <w:t>Acceptance criteria are testable and assignable to a discipline.</w:t>
      </w:r>
    </w:p>
    <w:p>
      <w:pPr>
        <w:pStyle w:val="ListBullet"/>
      </w:pPr>
      <w:r>
        <w:t>Changes to objective IDs, persistence IDs, reflected names, paths, or save fields include a consumer audit.</w:t>
      </w:r>
    </w:p>
    <w:p>
      <w:pPr>
        <w:spacing w:before="200"/>
      </w:pPr>
      <w:r>
        <w:rPr>
          <w:b/>
          <w:color w:val="35566E"/>
        </w:rPr>
        <w:t>End of GDD-05  /  AI, Factions, Morale, and Tactical Command</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C76"/>
        <w:sz w:val="16"/>
      </w:rPr>
      <w:t xml:space="preserve">VERSION 1.1  |  29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ptos" w:hAnsi="Aptos"/>
        <w:b/>
        <w:color w:val="5E6C76"/>
        <w:sz w:val="16"/>
      </w:rPr>
      <w:t>BROKEN HORIZON  /  MODULAR GDD  /  GDD-05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2735"/>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5566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C96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273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5E6C7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Horizon GDD-05 - AI, Factions, Morale, and Tactical Command</dc:title>
  <dc:subject>Separable modular game design document</dc:subject>
  <dc:creator>Broken Horizon Development Team</dc:creator>
  <cp:keywords>Broken Horizon, GDD, tactical FPS, persistent war, Unreal Engine</cp:keywords>
  <dc:description>generated by python-docx</dc:description>
  <cp:lastModifiedBy/>
  <cp:revision>1</cp:revision>
  <dcterms:created xsi:type="dcterms:W3CDTF">2013-12-23T23:15:00Z</dcterms:created>
  <dcterms:modified xsi:type="dcterms:W3CDTF">2013-12-23T23:15:00Z</dcterms:modified>
  <cp:category/>
</cp:coreProperties>
</file>