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r>
        <w:rPr>
          <w:b/>
          <w:color w:val="C96D2D"/>
          <w:sz w:val="22"/>
        </w:rPr>
        <w:t>GDD-07</w:t>
      </w:r>
    </w:p>
    <w:p>
      <w:pPr>
        <w:pStyle w:val="Title"/>
      </w:pPr>
      <w:r>
        <w:t>Persistent War, Sectors, Routes, and Strategic Map</w:t>
      </w:r>
    </w:p>
    <w:p>
      <w:pPr>
        <w:pStyle w:val="Subtitle"/>
      </w:pPr>
      <w:r>
        <w:t>Standalone production module for the cooperative multiplayer game design</w:t>
      </w:r>
    </w:p>
    <w:tbl>
      <w:tblPr>
        <w:tblStyle w:val="TableGrid"/>
        <w:tblW w:type="auto" w:w="0"/>
        <w:jc w:val="center"/>
        <w:tblLook w:firstColumn="1" w:firstRow="1" w:lastColumn="0" w:lastRow="0" w:noHBand="0" w:noVBand="1" w:val="04A0"/>
      </w:tblPr>
      <w:tblGrid>
        <w:gridCol w:w="4968"/>
        <w:gridCol w:w="4968"/>
      </w:tblGrid>
      <w:tr>
        <w:tc>
          <w:tcPr>
            <w:tcW w:type="dxa" w:w="4968"/>
            <w:shd w:fill="E8EEF2"/>
          </w:tcPr>
          <w:p>
            <w:pPr>
              <w:spacing w:after="0"/>
            </w:pPr>
            <w:r>
              <w:rPr>
                <w:b/>
                <w:color w:val="162735"/>
              </w:rPr>
              <w:t>Module owner</w:t>
            </w:r>
          </w:p>
        </w:tc>
        <w:tc>
          <w:tcPr>
            <w:tcW w:type="dxa" w:w="4968"/>
          </w:tcPr>
          <w:p>
            <w:pPr>
              <w:spacing w:after="0"/>
            </w:pPr>
            <w:r>
              <w:t>Systems Design Lead</w:t>
            </w:r>
          </w:p>
        </w:tc>
      </w:tr>
      <w:tr>
        <w:tc>
          <w:tcPr>
            <w:tcW w:type="dxa" w:w="4968"/>
            <w:shd w:fill="E8EEF2"/>
          </w:tcPr>
          <w:p>
            <w:pPr>
              <w:spacing w:after="0"/>
            </w:pPr>
            <w:r>
              <w:rPr>
                <w:b/>
                <w:color w:val="162735"/>
              </w:rPr>
              <w:t>Depends on</w:t>
            </w:r>
          </w:p>
        </w:tc>
        <w:tc>
          <w:tcPr>
            <w:tcW w:type="dxa" w:w="4968"/>
          </w:tcPr>
          <w:p>
            <w:pPr>
              <w:spacing w:after="0"/>
            </w:pPr>
            <w:r>
              <w:t>GDD-02, GDD-04, GDD-06</w:t>
            </w:r>
          </w:p>
        </w:tc>
      </w:tr>
      <w:tr>
        <w:tc>
          <w:tcPr>
            <w:tcW w:type="dxa" w:w="4968"/>
            <w:shd w:fill="E8EEF2"/>
          </w:tcPr>
          <w:p>
            <w:pPr>
              <w:spacing w:after="0"/>
            </w:pPr>
            <w:r>
              <w:rPr>
                <w:b/>
                <w:color w:val="162735"/>
              </w:rPr>
              <w:t>Publishes</w:t>
            </w:r>
          </w:p>
        </w:tc>
        <w:tc>
          <w:tcPr>
            <w:tcW w:type="dxa" w:w="4968"/>
          </w:tcPr>
          <w:p>
            <w:pPr>
              <w:spacing w:after="0"/>
            </w:pPr>
            <w:r>
              <w:t>Strategic entities, priority generation, replication/persistence contracts</w:t>
            </w:r>
          </w:p>
        </w:tc>
      </w:tr>
      <w:tr>
        <w:tc>
          <w:tcPr>
            <w:tcW w:type="dxa" w:w="4968"/>
            <w:shd w:fill="E8EEF2"/>
          </w:tcPr>
          <w:p>
            <w:pPr>
              <w:spacing w:after="0"/>
            </w:pPr>
            <w:r>
              <w:rPr>
                <w:b/>
                <w:color w:val="162735"/>
              </w:rPr>
              <w:t>Change rule</w:t>
            </w:r>
          </w:p>
        </w:tc>
        <w:tc>
          <w:tcPr>
            <w:tcW w:type="dxa" w:w="4968"/>
          </w:tcPr>
          <w:p>
            <w:pPr>
              <w:spacing w:after="0"/>
            </w:pPr>
            <w:r>
              <w:t>Update this module first, then review every listed consumer in the master index.</w:t>
            </w:r>
          </w:p>
        </w:tc>
      </w:tr>
    </w:tbl>
    <w:p/>
    <w:p>
      <w:pPr>
        <w:pStyle w:val="Heading1"/>
        <w:keepNext/>
      </w:pPr>
      <w:r>
        <w:t>Module Boundary Contract</w:t>
      </w:r>
    </w:p>
    <w:p>
      <w:pPr>
        <w:pStyle w:val="ListBullet"/>
      </w:pPr>
      <w:r>
        <w:t>This file may be assigned, reviewed, versioned, or replaced independently.</w:t>
      </w:r>
    </w:p>
    <w:p>
      <w:pPr>
        <w:pStyle w:val="ListBullet"/>
      </w:pPr>
      <w:r>
        <w:t>Terms and IDs published by this module are interfaces; downstream modules consume them without redefining them.</w:t>
      </w:r>
    </w:p>
    <w:p>
      <w:pPr>
        <w:pStyle w:val="ListBullet"/>
      </w:pPr>
      <w:r>
        <w:t>Cross-module changes require an impact review against the master dependency register.</w:t>
      </w:r>
    </w:p>
    <w:p>
      <w:pPr>
        <w:pStyle w:val="ListBullet"/>
      </w:pPr>
      <w:r>
        <w:t>Implementation values remain tunable unless explicitly identified as a persistence, objective, asset-path, or network contract.</w:t>
      </w:r>
    </w:p>
    <w:p>
      <w:pPr>
        <w:pStyle w:val="Heading1"/>
      </w:pPr>
      <w:r>
        <w:t>Design Specification</w:t>
      </w:r>
    </w:p>
    <w:p>
      <w:pPr>
        <w:pStyle w:val="Heading2"/>
      </w:pPr>
      <w:r>
        <w:t>Strategic Entities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62735"/>
            <w:vAlign w:val="center"/>
            <w:tcMar>
              <w:top w:w="90" w:type="dxa"/>
              <w:start w:w="110" w:type="dxa"/>
              <w:bottom w:w="90" w:type="dxa"/>
              <w:end w:w="110" w:type="dxa"/>
            </w:tcMar>
          </w:tcPr>
          <w:p>
            <w:r>
              <w:rPr>
                <w:b/>
                <w:color w:val="FFFFFF"/>
                <w:sz w:val="18"/>
              </w:rPr>
              <w:t>Entity</w:t>
            </w:r>
          </w:p>
        </w:tc>
        <w:tc>
          <w:tcPr>
            <w:tcW w:type="dxa" w:w="3528"/>
            <w:shd w:fill="162735"/>
            <w:vAlign w:val="center"/>
            <w:tcMar>
              <w:top w:w="90" w:type="dxa"/>
              <w:start w:w="110" w:type="dxa"/>
              <w:bottom w:w="90" w:type="dxa"/>
              <w:end w:w="110" w:type="dxa"/>
            </w:tcMar>
          </w:tcPr>
          <w:p>
            <w:r>
              <w:rPr>
                <w:b/>
                <w:color w:val="FFFFFF"/>
                <w:sz w:val="18"/>
              </w:rPr>
              <w:t>State</w:t>
            </w:r>
          </w:p>
        </w:tc>
        <w:tc>
          <w:tcPr>
            <w:tcW w:type="dxa" w:w="4392"/>
            <w:shd w:fill="162735"/>
            <w:vAlign w:val="center"/>
            <w:tcMar>
              <w:top w:w="90" w:type="dxa"/>
              <w:start w:w="110" w:type="dxa"/>
              <w:bottom w:w="90" w:type="dxa"/>
              <w:end w:w="110" w:type="dxa"/>
            </w:tcMar>
          </w:tcPr>
          <w:p>
            <w:r>
              <w:rPr>
                <w:b/>
                <w:color w:val="FFFFFF"/>
                <w:sz w:val="18"/>
              </w:rPr>
              <w:t>Player meaning</w:t>
            </w:r>
          </w:p>
        </w:tc>
      </w:tr>
      <w:tr>
        <w:tc>
          <w:tcPr>
            <w:tcW w:type="dxa" w:w="1800"/>
            <w:vAlign w:val="top"/>
            <w:tcMar>
              <w:top w:w="90" w:type="dxa"/>
              <w:start w:w="110" w:type="dxa"/>
              <w:bottom w:w="90" w:type="dxa"/>
              <w:end w:w="110" w:type="dxa"/>
            </w:tcMar>
          </w:tcPr>
          <w:p>
            <w:pPr>
              <w:spacing w:after="0"/>
            </w:pPr>
            <w:r>
              <w:rPr>
                <w:sz w:val="18"/>
              </w:rPr>
              <w:t>Sector</w:t>
            </w:r>
          </w:p>
        </w:tc>
        <w:tc>
          <w:tcPr>
            <w:tcW w:type="dxa" w:w="3528"/>
            <w:vAlign w:val="top"/>
            <w:tcMar>
              <w:top w:w="90" w:type="dxa"/>
              <w:start w:w="110" w:type="dxa"/>
              <w:bottom w:w="90" w:type="dxa"/>
              <w:end w:w="110" w:type="dxa"/>
            </w:tcMar>
          </w:tcPr>
          <w:p>
            <w:pPr>
              <w:spacing w:after="0"/>
            </w:pPr>
            <w:r>
              <w:rPr>
                <w:sz w:val="18"/>
              </w:rPr>
              <w:t>Owner, pressure, strength, supply, priority, anchor</w:t>
            </w:r>
          </w:p>
        </w:tc>
        <w:tc>
          <w:tcPr>
            <w:tcW w:type="dxa" w:w="4392"/>
            <w:vAlign w:val="top"/>
            <w:tcMar>
              <w:top w:w="90" w:type="dxa"/>
              <w:start w:w="110" w:type="dxa"/>
              <w:bottom w:w="90" w:type="dxa"/>
              <w:end w:w="110" w:type="dxa"/>
            </w:tcMar>
          </w:tcPr>
          <w:p>
            <w:pPr>
              <w:spacing w:after="0"/>
            </w:pPr>
            <w:r>
              <w:rPr>
                <w:sz w:val="18"/>
              </w:rPr>
              <w:t>Territory that creates missions and route access.</w:t>
            </w:r>
          </w:p>
        </w:tc>
      </w:tr>
      <w:tr>
        <w:tc>
          <w:tcPr>
            <w:tcW w:type="dxa" w:w="1800"/>
            <w:shd w:fill="F4F6F7"/>
            <w:vAlign w:val="top"/>
            <w:tcMar>
              <w:top w:w="90" w:type="dxa"/>
              <w:start w:w="110" w:type="dxa"/>
              <w:bottom w:w="90" w:type="dxa"/>
              <w:end w:w="110" w:type="dxa"/>
            </w:tcMar>
          </w:tcPr>
          <w:p>
            <w:pPr>
              <w:spacing w:after="0"/>
            </w:pPr>
            <w:r>
              <w:rPr>
                <w:sz w:val="18"/>
              </w:rPr>
              <w:t>Route</w:t>
            </w:r>
          </w:p>
        </w:tc>
        <w:tc>
          <w:tcPr>
            <w:tcW w:type="dxa" w:w="3528"/>
            <w:shd w:fill="F4F6F7"/>
            <w:vAlign w:val="top"/>
            <w:tcMar>
              <w:top w:w="90" w:type="dxa"/>
              <w:start w:w="110" w:type="dxa"/>
              <w:bottom w:w="90" w:type="dxa"/>
              <w:end w:w="110" w:type="dxa"/>
            </w:tcMar>
          </w:tcPr>
          <w:p>
            <w:pPr>
              <w:spacing w:after="0"/>
            </w:pPr>
            <w:r>
              <w:rPr>
                <w:sz w:val="18"/>
              </w:rPr>
              <w:t>Endpoints, connection, control, risk</w:t>
            </w:r>
          </w:p>
        </w:tc>
        <w:tc>
          <w:tcPr>
            <w:tcW w:type="dxa" w:w="4392"/>
            <w:shd w:fill="F4F6F7"/>
            <w:vAlign w:val="top"/>
            <w:tcMar>
              <w:top w:w="90" w:type="dxa"/>
              <w:start w:w="110" w:type="dxa"/>
              <w:bottom w:w="90" w:type="dxa"/>
              <w:end w:w="110" w:type="dxa"/>
            </w:tcMar>
          </w:tcPr>
          <w:p>
            <w:pPr>
              <w:spacing w:after="0"/>
            </w:pPr>
            <w:r>
              <w:rPr>
                <w:sz w:val="18"/>
              </w:rPr>
              <w:t>Travel and supply link that can be disrupted.</w:t>
            </w:r>
          </w:p>
        </w:tc>
      </w:tr>
      <w:tr>
        <w:tc>
          <w:tcPr>
            <w:tcW w:type="dxa" w:w="1800"/>
            <w:vAlign w:val="top"/>
            <w:tcMar>
              <w:top w:w="90" w:type="dxa"/>
              <w:start w:w="110" w:type="dxa"/>
              <w:bottom w:w="90" w:type="dxa"/>
              <w:end w:w="110" w:type="dxa"/>
            </w:tcMar>
          </w:tcPr>
          <w:p>
            <w:pPr>
              <w:spacing w:after="0"/>
            </w:pPr>
            <w:r>
              <w:rPr>
                <w:sz w:val="18"/>
              </w:rPr>
              <w:t>Supply base</w:t>
            </w:r>
          </w:p>
        </w:tc>
        <w:tc>
          <w:tcPr>
            <w:tcW w:type="dxa" w:w="3528"/>
            <w:vAlign w:val="top"/>
            <w:tcMar>
              <w:top w:w="90" w:type="dxa"/>
              <w:start w:w="110" w:type="dxa"/>
              <w:bottom w:w="90" w:type="dxa"/>
              <w:end w:w="110" w:type="dxa"/>
            </w:tcMar>
          </w:tcPr>
          <w:p>
            <w:pPr>
              <w:spacing w:after="0"/>
            </w:pPr>
            <w:r>
              <w:rPr>
                <w:sz w:val="18"/>
              </w:rPr>
              <w:t>Stock, production/recovery capability</w:t>
            </w:r>
          </w:p>
        </w:tc>
        <w:tc>
          <w:tcPr>
            <w:tcW w:type="dxa" w:w="4392"/>
            <w:vAlign w:val="top"/>
            <w:tcMar>
              <w:top w:w="90" w:type="dxa"/>
              <w:start w:w="110" w:type="dxa"/>
              <w:bottom w:w="90" w:type="dxa"/>
              <w:end w:w="110" w:type="dxa"/>
            </w:tcMar>
          </w:tcPr>
          <w:p>
            <w:pPr>
              <w:spacing w:after="0"/>
            </w:pPr>
            <w:r>
              <w:rPr>
                <w:sz w:val="18"/>
              </w:rPr>
              <w:t>Source of readiness and reinforcement.</w:t>
            </w:r>
          </w:p>
        </w:tc>
      </w:tr>
      <w:tr>
        <w:tc>
          <w:tcPr>
            <w:tcW w:type="dxa" w:w="1800"/>
            <w:shd w:fill="F4F6F7"/>
            <w:vAlign w:val="top"/>
            <w:tcMar>
              <w:top w:w="90" w:type="dxa"/>
              <w:start w:w="110" w:type="dxa"/>
              <w:bottom w:w="90" w:type="dxa"/>
              <w:end w:w="110" w:type="dxa"/>
            </w:tcMar>
          </w:tcPr>
          <w:p>
            <w:pPr>
              <w:spacing w:after="0"/>
            </w:pPr>
            <w:r>
              <w:rPr>
                <w:sz w:val="18"/>
              </w:rPr>
              <w:t>Convoy</w:t>
            </w:r>
          </w:p>
        </w:tc>
        <w:tc>
          <w:tcPr>
            <w:tcW w:type="dxa" w:w="3528"/>
            <w:shd w:fill="F4F6F7"/>
            <w:vAlign w:val="top"/>
            <w:tcMar>
              <w:top w:w="90" w:type="dxa"/>
              <w:start w:w="110" w:type="dxa"/>
              <w:bottom w:w="90" w:type="dxa"/>
              <w:end w:w="110" w:type="dxa"/>
            </w:tcMar>
          </w:tcPr>
          <w:p>
            <w:pPr>
              <w:spacing w:after="0"/>
            </w:pPr>
            <w:r>
              <w:rPr>
                <w:sz w:val="18"/>
              </w:rPr>
              <w:t>Source, destination, cargo, survival</w:t>
            </w:r>
          </w:p>
        </w:tc>
        <w:tc>
          <w:tcPr>
            <w:tcW w:type="dxa" w:w="4392"/>
            <w:shd w:fill="F4F6F7"/>
            <w:vAlign w:val="top"/>
            <w:tcMar>
              <w:top w:w="90" w:type="dxa"/>
              <w:start w:w="110" w:type="dxa"/>
              <w:bottom w:w="90" w:type="dxa"/>
              <w:end w:w="110" w:type="dxa"/>
            </w:tcMar>
          </w:tcPr>
          <w:p>
            <w:pPr>
              <w:spacing w:after="0"/>
            </w:pPr>
            <w:r>
              <w:rPr>
                <w:sz w:val="18"/>
              </w:rPr>
              <w:t>Physical transfer of strategic supply.</w:t>
            </w:r>
          </w:p>
        </w:tc>
      </w:tr>
      <w:tr>
        <w:tc>
          <w:tcPr>
            <w:tcW w:type="dxa" w:w="1800"/>
            <w:vAlign w:val="top"/>
            <w:tcMar>
              <w:top w:w="90" w:type="dxa"/>
              <w:start w:w="110" w:type="dxa"/>
              <w:bottom w:w="90" w:type="dxa"/>
              <w:end w:w="110" w:type="dxa"/>
            </w:tcMar>
          </w:tcPr>
          <w:p>
            <w:pPr>
              <w:spacing w:after="0"/>
            </w:pPr>
            <w:r>
              <w:rPr>
                <w:sz w:val="18"/>
              </w:rPr>
              <w:t>Operation</w:t>
            </w:r>
          </w:p>
        </w:tc>
        <w:tc>
          <w:tcPr>
            <w:tcW w:type="dxa" w:w="3528"/>
            <w:vAlign w:val="top"/>
            <w:tcMar>
              <w:top w:w="90" w:type="dxa"/>
              <w:start w:w="110" w:type="dxa"/>
              <w:bottom w:w="90" w:type="dxa"/>
              <w:end w:w="110" w:type="dxa"/>
            </w:tcMar>
          </w:tcPr>
          <w:p>
            <w:pPr>
              <w:spacing w:after="0"/>
            </w:pPr>
            <w:r>
              <w:rPr>
                <w:sz w:val="18"/>
              </w:rPr>
              <w:t>Type, phase, forces, progress, casualties</w:t>
            </w:r>
          </w:p>
        </w:tc>
        <w:tc>
          <w:tcPr>
            <w:tcW w:type="dxa" w:w="4392"/>
            <w:vAlign w:val="top"/>
            <w:tcMar>
              <w:top w:w="90" w:type="dxa"/>
              <w:start w:w="110" w:type="dxa"/>
              <w:bottom w:w="90" w:type="dxa"/>
              <w:end w:w="110" w:type="dxa"/>
            </w:tcMar>
          </w:tcPr>
          <w:p>
            <w:pPr>
              <w:spacing w:after="0"/>
            </w:pPr>
            <w:r>
              <w:rPr>
                <w:sz w:val="18"/>
              </w:rPr>
              <w:t>Current tactical expression of the war.</w:t>
            </w:r>
          </w:p>
        </w:tc>
      </w:tr>
      <w:tr>
        <w:tc>
          <w:tcPr>
            <w:tcW w:type="dxa" w:w="1800"/>
            <w:shd w:fill="F4F6F7"/>
            <w:vAlign w:val="top"/>
            <w:tcMar>
              <w:top w:w="90" w:type="dxa"/>
              <w:start w:w="110" w:type="dxa"/>
              <w:bottom w:w="90" w:type="dxa"/>
              <w:end w:w="110" w:type="dxa"/>
            </w:tcMar>
          </w:tcPr>
          <w:p>
            <w:pPr>
              <w:spacing w:after="0"/>
            </w:pPr>
            <w:r>
              <w:rPr>
                <w:sz w:val="18"/>
              </w:rPr>
              <w:t>War event</w:t>
            </w:r>
          </w:p>
        </w:tc>
        <w:tc>
          <w:tcPr>
            <w:tcW w:type="dxa" w:w="3528"/>
            <w:shd w:fill="F4F6F7"/>
            <w:vAlign w:val="top"/>
            <w:tcMar>
              <w:top w:w="90" w:type="dxa"/>
              <w:start w:w="110" w:type="dxa"/>
              <w:bottom w:w="90" w:type="dxa"/>
              <w:end w:w="110" w:type="dxa"/>
            </w:tcMar>
          </w:tcPr>
          <w:p>
            <w:pPr>
              <w:spacing w:after="0"/>
            </w:pPr>
            <w:r>
              <w:rPr>
                <w:sz w:val="18"/>
              </w:rPr>
              <w:t>Turn, location, result, consequence</w:t>
            </w:r>
          </w:p>
        </w:tc>
        <w:tc>
          <w:tcPr>
            <w:tcW w:type="dxa" w:w="4392"/>
            <w:shd w:fill="F4F6F7"/>
            <w:vAlign w:val="top"/>
            <w:tcMar>
              <w:top w:w="90" w:type="dxa"/>
              <w:start w:w="110" w:type="dxa"/>
              <w:bottom w:w="90" w:type="dxa"/>
              <w:end w:w="110" w:type="dxa"/>
            </w:tcMar>
          </w:tcPr>
          <w:p>
            <w:pPr>
              <w:spacing w:after="0"/>
            </w:pPr>
            <w:r>
              <w:rPr>
                <w:sz w:val="18"/>
              </w:rPr>
              <w:t>Audit trail that explains why the map changed.</w:t>
            </w:r>
          </w:p>
        </w:tc>
      </w:tr>
    </w:tbl>
    <w:p>
      <w:pPr>
        <w:spacing w:after="0"/>
      </w:pPr>
    </w:p>
    <w:p>
      <w:pPr>
        <w:pStyle w:val="Heading2"/>
      </w:pPr>
      <w:r>
        <w:t>Priority Generation</w:t>
      </w:r>
    </w:p>
    <w:p>
      <w:r>
        <w:t>The war system evaluates sectors using ownership, adjacency, pressure, supply connectivity, strategic weight, and recent events. It proposes defend, attack, raid, resupply, or militia actions. Priority scoring must remain inspectable in debug and explainable in UI with two or three human-readable reasons.</w:t>
      </w:r>
    </w:p>
    <w:tbl>
      <w:tblPr>
        <w:tblW w:type="auto" w:w="0"/>
        <w:jc w:val="center"/>
        <w:tblLayout w:type="fixed"/>
        <w:tblLook w:firstColumn="1" w:firstRow="1" w:lastColumn="0" w:lastRow="0" w:noHBand="0" w:noVBand="1" w:val="04A0"/>
      </w:tblPr>
      <w:tblGrid>
        <w:gridCol w:w="9936"/>
      </w:tblGrid>
      <w:tr>
        <w:tc>
          <w:tcPr>
            <w:tcW w:type="dxa" w:w="9720"/>
            <w:shd w:fill="E8EEF2"/>
            <w:tcMar>
              <w:top w:w="150" w:type="dxa"/>
              <w:start w:w="180" w:type="dxa"/>
              <w:bottom w:w="150" w:type="dxa"/>
              <w:end w:w="180" w:type="dxa"/>
            </w:tcMar>
          </w:tcPr>
          <w:p>
            <w:pPr>
              <w:spacing w:after="40"/>
            </w:pPr>
            <w:r>
              <w:rPr>
                <w:b/>
                <w:color w:val="C96D2D"/>
              </w:rPr>
              <w:t xml:space="preserve">MAP PRINCIPLE  </w:t>
            </w:r>
            <w:r>
              <w:rPr>
                <w:color w:val="162735"/>
              </w:rPr>
              <w:t>The strategic map is a shared decision surface, not wallpaper. Every squad member must see the same revision, and every icon must answer: what is happening, why it matters, how long we have, what it costs, and what success changes.</w:t>
            </w:r>
          </w:p>
        </w:tc>
      </w:tr>
    </w:tbl>
    <w:p>
      <w:pPr>
        <w:spacing w:after="0"/>
      </w:pPr>
    </w:p>
    <w:p>
      <w:pPr>
        <w:pStyle w:val="Heading2"/>
      </w:pPr>
      <w:r>
        <w:t>Strategic Map Information Architecture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62735"/>
            <w:vAlign w:val="center"/>
            <w:tcMar>
              <w:top w:w="90" w:type="dxa"/>
              <w:start w:w="110" w:type="dxa"/>
              <w:bottom w:w="90" w:type="dxa"/>
              <w:end w:w="110" w:type="dxa"/>
            </w:tcMar>
          </w:tcPr>
          <w:p>
            <w:r>
              <w:rPr>
                <w:b/>
                <w:color w:val="FFFFFF"/>
                <w:sz w:val="18"/>
              </w:rPr>
              <w:t>Layer</w:t>
            </w:r>
          </w:p>
        </w:tc>
        <w:tc>
          <w:tcPr>
            <w:tcW w:type="dxa" w:w="3672"/>
            <w:shd w:fill="162735"/>
            <w:vAlign w:val="center"/>
            <w:tcMar>
              <w:top w:w="90" w:type="dxa"/>
              <w:start w:w="110" w:type="dxa"/>
              <w:bottom w:w="90" w:type="dxa"/>
              <w:end w:w="110" w:type="dxa"/>
            </w:tcMar>
          </w:tcPr>
          <w:p>
            <w:r>
              <w:rPr>
                <w:b/>
                <w:color w:val="FFFFFF"/>
                <w:sz w:val="18"/>
              </w:rPr>
              <w:t>Default</w:t>
            </w:r>
          </w:p>
        </w:tc>
        <w:tc>
          <w:tcPr>
            <w:tcW w:type="dxa" w:w="4248"/>
            <w:shd w:fill="162735"/>
            <w:vAlign w:val="center"/>
            <w:tcMar>
              <w:top w:w="90" w:type="dxa"/>
              <w:start w:w="110" w:type="dxa"/>
              <w:bottom w:w="90" w:type="dxa"/>
              <w:end w:w="110" w:type="dxa"/>
            </w:tcMar>
          </w:tcPr>
          <w:p>
            <w:r>
              <w:rPr>
                <w:b/>
                <w:color w:val="FFFFFF"/>
                <w:sz w:val="18"/>
              </w:rPr>
              <w:t>On selection</w:t>
            </w:r>
          </w:p>
        </w:tc>
      </w:tr>
      <w:tr>
        <w:tc>
          <w:tcPr>
            <w:tcW w:type="dxa" w:w="1800"/>
            <w:vAlign w:val="top"/>
            <w:tcMar>
              <w:top w:w="90" w:type="dxa"/>
              <w:start w:w="110" w:type="dxa"/>
              <w:bottom w:w="90" w:type="dxa"/>
              <w:end w:w="110" w:type="dxa"/>
            </w:tcMar>
          </w:tcPr>
          <w:p>
            <w:pPr>
              <w:spacing w:after="0"/>
            </w:pPr>
            <w:r>
              <w:rPr>
                <w:sz w:val="18"/>
              </w:rPr>
              <w:t>Territory</w:t>
            </w:r>
          </w:p>
        </w:tc>
        <w:tc>
          <w:tcPr>
            <w:tcW w:type="dxa" w:w="3672"/>
            <w:vAlign w:val="top"/>
            <w:tcMar>
              <w:top w:w="90" w:type="dxa"/>
              <w:start w:w="110" w:type="dxa"/>
              <w:bottom w:w="90" w:type="dxa"/>
              <w:end w:w="110" w:type="dxa"/>
            </w:tcMar>
          </w:tcPr>
          <w:p>
            <w:pPr>
              <w:spacing w:after="0"/>
            </w:pPr>
            <w:r>
              <w:rPr>
                <w:sz w:val="18"/>
              </w:rPr>
              <w:t>Sector ownership and contested state</w:t>
            </w:r>
          </w:p>
        </w:tc>
        <w:tc>
          <w:tcPr>
            <w:tcW w:type="dxa" w:w="4248"/>
            <w:vAlign w:val="top"/>
            <w:tcMar>
              <w:top w:w="90" w:type="dxa"/>
              <w:start w:w="110" w:type="dxa"/>
              <w:bottom w:w="90" w:type="dxa"/>
              <w:end w:w="110" w:type="dxa"/>
            </w:tcMar>
          </w:tcPr>
          <w:p>
            <w:pPr>
              <w:spacing w:after="0"/>
            </w:pPr>
            <w:r>
              <w:rPr>
                <w:sz w:val="18"/>
              </w:rPr>
              <w:t>Strength, pressure, adjacent sectors, recent change</w:t>
            </w:r>
          </w:p>
        </w:tc>
      </w:tr>
      <w:tr>
        <w:tc>
          <w:tcPr>
            <w:tcW w:type="dxa" w:w="1800"/>
            <w:shd w:fill="F4F6F7"/>
            <w:vAlign w:val="top"/>
            <w:tcMar>
              <w:top w:w="90" w:type="dxa"/>
              <w:start w:w="110" w:type="dxa"/>
              <w:bottom w:w="90" w:type="dxa"/>
              <w:end w:w="110" w:type="dxa"/>
            </w:tcMar>
          </w:tcPr>
          <w:p>
            <w:pPr>
              <w:spacing w:after="0"/>
            </w:pPr>
            <w:r>
              <w:rPr>
                <w:sz w:val="18"/>
              </w:rPr>
              <w:t>Supply</w:t>
            </w:r>
          </w:p>
        </w:tc>
        <w:tc>
          <w:tcPr>
            <w:tcW w:type="dxa" w:w="3672"/>
            <w:shd w:fill="F4F6F7"/>
            <w:vAlign w:val="top"/>
            <w:tcMar>
              <w:top w:w="90" w:type="dxa"/>
              <w:start w:w="110" w:type="dxa"/>
              <w:bottom w:w="90" w:type="dxa"/>
              <w:end w:w="110" w:type="dxa"/>
            </w:tcMar>
          </w:tcPr>
          <w:p>
            <w:pPr>
              <w:spacing w:after="0"/>
            </w:pPr>
            <w:r>
              <w:rPr>
                <w:sz w:val="18"/>
              </w:rPr>
              <w:t>Connected/disconnected route emphasis</w:t>
            </w:r>
          </w:p>
        </w:tc>
        <w:tc>
          <w:tcPr>
            <w:tcW w:type="dxa" w:w="4248"/>
            <w:shd w:fill="F4F6F7"/>
            <w:vAlign w:val="top"/>
            <w:tcMar>
              <w:top w:w="90" w:type="dxa"/>
              <w:start w:w="110" w:type="dxa"/>
              <w:bottom w:w="90" w:type="dxa"/>
              <w:end w:w="110" w:type="dxa"/>
            </w:tcMar>
          </w:tcPr>
          <w:p>
            <w:pPr>
              <w:spacing w:after="0"/>
            </w:pPr>
            <w:r>
              <w:rPr>
                <w:sz w:val="18"/>
              </w:rPr>
              <w:t>Stock, source, convoy, blockage, resupply options</w:t>
            </w:r>
          </w:p>
        </w:tc>
      </w:tr>
      <w:tr>
        <w:tc>
          <w:tcPr>
            <w:tcW w:type="dxa" w:w="1800"/>
            <w:vAlign w:val="top"/>
            <w:tcMar>
              <w:top w:w="90" w:type="dxa"/>
              <w:start w:w="110" w:type="dxa"/>
              <w:bottom w:w="90" w:type="dxa"/>
              <w:end w:w="110" w:type="dxa"/>
            </w:tcMar>
          </w:tcPr>
          <w:p>
            <w:pPr>
              <w:spacing w:after="0"/>
            </w:pPr>
            <w:r>
              <w:rPr>
                <w:sz w:val="18"/>
              </w:rPr>
              <w:t>Operations</w:t>
            </w:r>
          </w:p>
        </w:tc>
        <w:tc>
          <w:tcPr>
            <w:tcW w:type="dxa" w:w="3672"/>
            <w:vAlign w:val="top"/>
            <w:tcMar>
              <w:top w:w="90" w:type="dxa"/>
              <w:start w:w="110" w:type="dxa"/>
              <w:bottom w:w="90" w:type="dxa"/>
              <w:end w:w="110" w:type="dxa"/>
            </w:tcMar>
          </w:tcPr>
          <w:p>
            <w:pPr>
              <w:spacing w:after="0"/>
            </w:pPr>
            <w:r>
              <w:rPr>
                <w:sz w:val="18"/>
              </w:rPr>
              <w:t>Primary and secondary priority markers</w:t>
            </w:r>
          </w:p>
        </w:tc>
        <w:tc>
          <w:tcPr>
            <w:tcW w:type="dxa" w:w="4248"/>
            <w:vAlign w:val="top"/>
            <w:tcMar>
              <w:top w:w="90" w:type="dxa"/>
              <w:start w:w="110" w:type="dxa"/>
              <w:bottom w:w="90" w:type="dxa"/>
              <w:end w:w="110" w:type="dxa"/>
            </w:tcMar>
          </w:tcPr>
          <w:p>
            <w:pPr>
              <w:spacing w:after="0"/>
            </w:pPr>
            <w:r>
              <w:rPr>
                <w:sz w:val="18"/>
              </w:rPr>
              <w:t>Type, approach time, forces, likely consequences</w:t>
            </w:r>
          </w:p>
        </w:tc>
      </w:tr>
      <w:tr>
        <w:tc>
          <w:tcPr>
            <w:tcW w:type="dxa" w:w="1800"/>
            <w:shd w:fill="F4F6F7"/>
            <w:vAlign w:val="top"/>
            <w:tcMar>
              <w:top w:w="90" w:type="dxa"/>
              <w:start w:w="110" w:type="dxa"/>
              <w:bottom w:w="90" w:type="dxa"/>
              <w:end w:w="110" w:type="dxa"/>
            </w:tcMar>
          </w:tcPr>
          <w:p>
            <w:pPr>
              <w:spacing w:after="0"/>
            </w:pPr>
            <w:r>
              <w:rPr>
                <w:sz w:val="18"/>
              </w:rPr>
              <w:t>Player assets</w:t>
            </w:r>
          </w:p>
        </w:tc>
        <w:tc>
          <w:tcPr>
            <w:tcW w:type="dxa" w:w="3672"/>
            <w:shd w:fill="F4F6F7"/>
            <w:vAlign w:val="top"/>
            <w:tcMar>
              <w:top w:w="90" w:type="dxa"/>
              <w:start w:w="110" w:type="dxa"/>
              <w:bottom w:w="90" w:type="dxa"/>
              <w:end w:w="110" w:type="dxa"/>
            </w:tcMar>
          </w:tcPr>
          <w:p>
            <w:pPr>
              <w:spacing w:after="0"/>
            </w:pPr>
            <w:r>
              <w:rPr>
                <w:sz w:val="18"/>
              </w:rPr>
              <w:t>All players, AI squad, transport</w:t>
            </w:r>
          </w:p>
        </w:tc>
        <w:tc>
          <w:tcPr>
            <w:tcW w:type="dxa" w:w="4248"/>
            <w:shd w:fill="F4F6F7"/>
            <w:vAlign w:val="top"/>
            <w:tcMar>
              <w:top w:w="90" w:type="dxa"/>
              <w:start w:w="110" w:type="dxa"/>
              <w:bottom w:w="90" w:type="dxa"/>
              <w:end w:w="110" w:type="dxa"/>
            </w:tcMar>
          </w:tcPr>
          <w:p>
            <w:pPr>
              <w:spacing w:after="0"/>
            </w:pPr>
            <w:r>
              <w:rPr>
                <w:sz w:val="18"/>
              </w:rPr>
              <w:t>Status, separation, fuel, cargo, hull, assignments, route estimate</w:t>
            </w:r>
          </w:p>
        </w:tc>
      </w:tr>
      <w:tr>
        <w:tc>
          <w:tcPr>
            <w:tcW w:type="dxa" w:w="1800"/>
            <w:vAlign w:val="top"/>
            <w:tcMar>
              <w:top w:w="90" w:type="dxa"/>
              <w:start w:w="110" w:type="dxa"/>
              <w:bottom w:w="90" w:type="dxa"/>
              <w:end w:w="110" w:type="dxa"/>
            </w:tcMar>
          </w:tcPr>
          <w:p>
            <w:pPr>
              <w:spacing w:after="0"/>
            </w:pPr>
            <w:r>
              <w:rPr>
                <w:sz w:val="18"/>
              </w:rPr>
              <w:t>History</w:t>
            </w:r>
          </w:p>
        </w:tc>
        <w:tc>
          <w:tcPr>
            <w:tcW w:type="dxa" w:w="3672"/>
            <w:vAlign w:val="top"/>
            <w:tcMar>
              <w:top w:w="90" w:type="dxa"/>
              <w:start w:w="110" w:type="dxa"/>
              <w:bottom w:w="90" w:type="dxa"/>
              <w:end w:w="110" w:type="dxa"/>
            </w:tcMar>
          </w:tcPr>
          <w:p>
            <w:pPr>
              <w:spacing w:after="0"/>
            </w:pPr>
            <w:r>
              <w:rPr>
                <w:sz w:val="18"/>
              </w:rPr>
              <w:t>Last major change only</w:t>
            </w:r>
          </w:p>
        </w:tc>
        <w:tc>
          <w:tcPr>
            <w:tcW w:type="dxa" w:w="4248"/>
            <w:vAlign w:val="top"/>
            <w:tcMar>
              <w:top w:w="90" w:type="dxa"/>
              <w:start w:w="110" w:type="dxa"/>
              <w:bottom w:w="90" w:type="dxa"/>
              <w:end w:w="110" w:type="dxa"/>
            </w:tcMar>
          </w:tcPr>
          <w:p>
            <w:pPr>
              <w:spacing w:after="0"/>
            </w:pPr>
            <w:r>
              <w:rPr>
                <w:sz w:val="18"/>
              </w:rPr>
              <w:t>Short event log with causal language</w:t>
            </w:r>
          </w:p>
        </w:tc>
      </w:tr>
    </w:tbl>
    <w:p>
      <w:pPr>
        <w:spacing w:after="0"/>
      </w:pPr>
    </w:p>
    <w:p>
      <w:pPr>
        <w:pStyle w:val="Heading2"/>
      </w:pPr>
      <w:r>
        <w:t>Persistence Contract</w:t>
      </w:r>
    </w:p>
    <w:p>
      <w:pPr>
        <w:pStyle w:val="ListBullet"/>
      </w:pPr>
      <w:r>
        <w:t>Stable persistence IDs are mandatory for world actors and field assets.</w:t>
      </w:r>
    </w:p>
    <w:p>
      <w:pPr>
        <w:pStyle w:val="ListBullet"/>
      </w:pPr>
      <w:r>
        <w:t>Objective IDs and reflected names are content/save contracts.</w:t>
      </w:r>
    </w:p>
    <w:p>
      <w:pPr>
        <w:pStyle w:val="ListBullet"/>
      </w:pPr>
      <w:r>
        <w:t>Campaign data includes per-player state, shared objective/keycard state, persistent actors, operation phase/progress, war state, AI squad assignment, and transport state.</w:t>
      </w:r>
    </w:p>
    <w:p>
      <w:pPr>
        <w:pStyle w:val="ListBullet"/>
      </w:pPr>
      <w:r>
        <w:t>Authoritative save writes occur on explicit checkpoints, operation phase changes, material casualties, travel commits, and controlled host shutdown where safe.</w:t>
      </w:r>
    </w:p>
    <w:p>
      <w:pPr>
        <w:pStyle w:val="ListBullet"/>
      </w:pPr>
      <w:r>
        <w:t>Version migrations favor conservative defaults and never silently reinterpret an ID.</w:t>
      </w:r>
    </w:p>
    <w:p>
      <w:pPr>
        <w:pStyle w:val="Heading2"/>
      </w:pPr>
      <w:r>
        <w:t>Campaign Balance Guardrails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888"/>
            <w:shd w:fill="162735"/>
            <w:vAlign w:val="center"/>
            <w:tcMar>
              <w:top w:w="90" w:type="dxa"/>
              <w:start w:w="110" w:type="dxa"/>
              <w:bottom w:w="90" w:type="dxa"/>
              <w:end w:w="110" w:type="dxa"/>
            </w:tcMar>
          </w:tcPr>
          <w:p>
            <w:r>
              <w:rPr>
                <w:b/>
                <w:color w:val="FFFFFF"/>
                <w:sz w:val="18"/>
              </w:rPr>
              <w:t>Guardrail</w:t>
            </w:r>
          </w:p>
        </w:tc>
        <w:tc>
          <w:tcPr>
            <w:tcW w:type="dxa" w:w="5832"/>
            <w:shd w:fill="162735"/>
            <w:vAlign w:val="center"/>
            <w:tcMar>
              <w:top w:w="90" w:type="dxa"/>
              <w:start w:w="110" w:type="dxa"/>
              <w:bottom w:w="90" w:type="dxa"/>
              <w:end w:w="110" w:type="dxa"/>
            </w:tcMar>
          </w:tcPr>
          <w:p>
            <w:r>
              <w:rPr>
                <w:b/>
                <w:color w:val="FFFFFF"/>
                <w:sz w:val="18"/>
              </w:rPr>
              <w:t>Target</w:t>
            </w:r>
          </w:p>
        </w:tc>
      </w:tr>
      <w:tr>
        <w:tc>
          <w:tcPr>
            <w:tcW w:type="dxa" w:w="3888"/>
            <w:vAlign w:val="top"/>
            <w:tcMar>
              <w:top w:w="90" w:type="dxa"/>
              <w:start w:w="110" w:type="dxa"/>
              <w:bottom w:w="90" w:type="dxa"/>
              <w:end w:w="110" w:type="dxa"/>
            </w:tcMar>
          </w:tcPr>
          <w:p>
            <w:pPr>
              <w:spacing w:after="0"/>
            </w:pPr>
            <w:r>
              <w:rPr>
                <w:sz w:val="18"/>
              </w:rPr>
              <w:t>Critical priorities simultaneously visible</w:t>
            </w:r>
          </w:p>
        </w:tc>
        <w:tc>
          <w:tcPr>
            <w:tcW w:type="dxa" w:w="5832"/>
            <w:vAlign w:val="top"/>
            <w:tcMar>
              <w:top w:w="90" w:type="dxa"/>
              <w:start w:w="110" w:type="dxa"/>
              <w:bottom w:w="90" w:type="dxa"/>
              <w:end w:w="110" w:type="dxa"/>
            </w:tcMar>
          </w:tcPr>
          <w:p>
            <w:pPr>
              <w:spacing w:after="0"/>
            </w:pPr>
            <w:r>
              <w:rPr>
                <w:sz w:val="18"/>
              </w:rPr>
              <w:t>1 primary + up to 2 secondary</w:t>
            </w:r>
          </w:p>
        </w:tc>
      </w:tr>
      <w:tr>
        <w:tc>
          <w:tcPr>
            <w:tcW w:type="dxa" w:w="3888"/>
            <w:shd w:fill="F4F6F7"/>
            <w:vAlign w:val="top"/>
            <w:tcMar>
              <w:top w:w="90" w:type="dxa"/>
              <w:start w:w="110" w:type="dxa"/>
              <w:bottom w:w="90" w:type="dxa"/>
              <w:end w:w="110" w:type="dxa"/>
            </w:tcMar>
          </w:tcPr>
          <w:p>
            <w:pPr>
              <w:spacing w:after="0"/>
            </w:pPr>
            <w:r>
              <w:rPr>
                <w:sz w:val="18"/>
              </w:rPr>
              <w:t>Unanswered sector loss cadence</w:t>
            </w:r>
          </w:p>
        </w:tc>
        <w:tc>
          <w:tcPr>
            <w:tcW w:type="dxa" w:w="5832"/>
            <w:shd w:fill="F4F6F7"/>
            <w:vAlign w:val="top"/>
            <w:tcMar>
              <w:top w:w="90" w:type="dxa"/>
              <w:start w:w="110" w:type="dxa"/>
              <w:bottom w:w="90" w:type="dxa"/>
              <w:end w:w="110" w:type="dxa"/>
            </w:tcMar>
          </w:tcPr>
          <w:p>
            <w:pPr>
              <w:spacing w:after="0"/>
            </w:pPr>
            <w:r>
              <w:rPr>
                <w:sz w:val="18"/>
              </w:rPr>
              <w:t>No faster than one meaningful loss per 2-3 completed operations in standard difficulty</w:t>
            </w:r>
          </w:p>
        </w:tc>
      </w:tr>
      <w:tr>
        <w:tc>
          <w:tcPr>
            <w:tcW w:type="dxa" w:w="3888"/>
            <w:vAlign w:val="top"/>
            <w:tcMar>
              <w:top w:w="90" w:type="dxa"/>
              <w:start w:w="110" w:type="dxa"/>
              <w:bottom w:w="90" w:type="dxa"/>
              <w:end w:w="110" w:type="dxa"/>
            </w:tcMar>
          </w:tcPr>
          <w:p>
            <w:pPr>
              <w:spacing w:after="0"/>
            </w:pPr>
            <w:r>
              <w:rPr>
                <w:sz w:val="18"/>
              </w:rPr>
              <w:t>Recovery from isolation</w:t>
            </w:r>
          </w:p>
        </w:tc>
        <w:tc>
          <w:tcPr>
            <w:tcW w:type="dxa" w:w="5832"/>
            <w:vAlign w:val="top"/>
            <w:tcMar>
              <w:top w:w="90" w:type="dxa"/>
              <w:start w:w="110" w:type="dxa"/>
              <w:bottom w:w="90" w:type="dxa"/>
              <w:end w:w="110" w:type="dxa"/>
            </w:tcMar>
          </w:tcPr>
          <w:p>
            <w:pPr>
              <w:spacing w:after="0"/>
            </w:pPr>
            <w:r>
              <w:rPr>
                <w:sz w:val="18"/>
              </w:rPr>
              <w:t>At least one achievable relief/resupply option</w:t>
            </w:r>
          </w:p>
        </w:tc>
      </w:tr>
      <w:tr>
        <w:tc>
          <w:tcPr>
            <w:tcW w:type="dxa" w:w="3888"/>
            <w:shd w:fill="F4F6F7"/>
            <w:vAlign w:val="top"/>
            <w:tcMar>
              <w:top w:w="90" w:type="dxa"/>
              <w:start w:w="110" w:type="dxa"/>
              <w:bottom w:w="90" w:type="dxa"/>
              <w:end w:w="110" w:type="dxa"/>
            </w:tcMar>
          </w:tcPr>
          <w:p>
            <w:pPr>
              <w:spacing w:after="0"/>
            </w:pPr>
            <w:r>
              <w:rPr>
                <w:sz w:val="18"/>
              </w:rPr>
              <w:t>War explanation</w:t>
            </w:r>
          </w:p>
        </w:tc>
        <w:tc>
          <w:tcPr>
            <w:tcW w:type="dxa" w:w="5832"/>
            <w:shd w:fill="F4F6F7"/>
            <w:vAlign w:val="top"/>
            <w:tcMar>
              <w:top w:w="90" w:type="dxa"/>
              <w:start w:w="110" w:type="dxa"/>
              <w:bottom w:w="90" w:type="dxa"/>
              <w:end w:w="110" w:type="dxa"/>
            </w:tcMar>
          </w:tcPr>
          <w:p>
            <w:pPr>
              <w:spacing w:after="0"/>
            </w:pPr>
            <w:r>
              <w:rPr>
                <w:sz w:val="18"/>
              </w:rPr>
              <w:t>Every ownership change produces a player-readable event</w:t>
            </w:r>
          </w:p>
        </w:tc>
      </w:tr>
      <w:tr>
        <w:tc>
          <w:tcPr>
            <w:tcW w:type="dxa" w:w="3888"/>
            <w:vAlign w:val="top"/>
            <w:tcMar>
              <w:top w:w="90" w:type="dxa"/>
              <w:start w:w="110" w:type="dxa"/>
              <w:bottom w:w="90" w:type="dxa"/>
              <w:end w:w="110" w:type="dxa"/>
            </w:tcMar>
          </w:tcPr>
          <w:p>
            <w:pPr>
              <w:spacing w:after="0"/>
            </w:pPr>
            <w:r>
              <w:rPr>
                <w:sz w:val="18"/>
              </w:rPr>
              <w:t>Simulation determinism</w:t>
            </w:r>
          </w:p>
        </w:tc>
        <w:tc>
          <w:tcPr>
            <w:tcW w:type="dxa" w:w="5832"/>
            <w:vAlign w:val="top"/>
            <w:tcMar>
              <w:top w:w="90" w:type="dxa"/>
              <w:start w:w="110" w:type="dxa"/>
              <w:bottom w:w="90" w:type="dxa"/>
              <w:end w:w="110" w:type="dxa"/>
            </w:tcMar>
          </w:tcPr>
          <w:p>
            <w:pPr>
              <w:spacing w:after="0"/>
            </w:pPr>
            <w:r>
              <w:rPr>
                <w:sz w:val="18"/>
              </w:rPr>
              <w:t>Seeded or logged enough to reproduce QA cases</w:t>
            </w:r>
          </w:p>
        </w:tc>
      </w:tr>
    </w:tbl>
    <w:p>
      <w:pPr>
        <w:spacing w:after="0"/>
      </w:pPr>
    </w:p>
    <w:p>
      <w:pPr>
        <w:pStyle w:val="Heading1"/>
      </w:pPr>
      <w:r>
        <w:t>Module Exit Checklist</w:t>
      </w:r>
    </w:p>
    <w:p>
      <w:pPr>
        <w:pStyle w:val="ListBullet"/>
      </w:pPr>
      <w:r>
        <w:t>The module can be read without another file to understand its owned decisions.</w:t>
      </w:r>
    </w:p>
    <w:p>
      <w:pPr>
        <w:pStyle w:val="ListBullet"/>
      </w:pPr>
      <w:r>
        <w:t>Every external dependency is named in the header and not silently duplicated.</w:t>
      </w:r>
    </w:p>
    <w:p>
      <w:pPr>
        <w:pStyle w:val="ListBullet"/>
      </w:pPr>
      <w:r>
        <w:t>Every published interface uses stable terminology consistent with the master index.</w:t>
      </w:r>
    </w:p>
    <w:p>
      <w:pPr>
        <w:pStyle w:val="ListBullet"/>
      </w:pPr>
      <w:r>
        <w:t>Multiplayer authority, replication, reconnect, and persistence implications are addressed where relevant.</w:t>
      </w:r>
    </w:p>
    <w:p>
      <w:pPr>
        <w:pStyle w:val="ListBullet"/>
      </w:pPr>
      <w:r>
        <w:t>Acceptance criteria are testable and assignable to a discipline.</w:t>
      </w:r>
    </w:p>
    <w:p>
      <w:pPr>
        <w:pStyle w:val="ListBullet"/>
      </w:pPr>
      <w:r>
        <w:t>Changes to objective IDs, persistence IDs, reflected names, paths, or save fields include a consumer audit.</w:t>
      </w:r>
    </w:p>
    <w:p>
      <w:pPr>
        <w:spacing w:before="200"/>
      </w:pPr>
      <w:r>
        <w:rPr>
          <w:b/>
          <w:color w:val="35566E"/>
        </w:rPr>
        <w:t>End of GDD-07  /  Persistent War, Sectors, Routes, and Strategic Map</w:t>
      </w:r>
    </w:p>
    <w:sectPr w:rsidR="00FC693F" w:rsidRPr="0006063C" w:rsidSect="00034616">
      <w:headerReference w:type="default" r:id="rId9"/>
      <w:footerReference w:type="default" r:id="rId10"/>
      <w:pgSz w:w="12240" w:h="15840"/>
      <w:pgMar w:top="1080"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C76"/>
        <w:sz w:val="16"/>
      </w:rPr>
      <w:t xml:space="preserve">VERSION 1.1  |  29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rFonts w:ascii="Aptos" w:hAnsi="Aptos"/>
        <w:b/>
        <w:color w:val="5E6C76"/>
        <w:sz w:val="16"/>
      </w:rPr>
      <w:t>BROKEN HORIZON  /  MODULAR GDD  /  GDD-07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720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62735"/>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35566E"/>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C96D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62735"/>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5E6C7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5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eader" Target="header1.xml" /><ns0:Relationship Id="rId10" Type="http://schemas.openxmlformats.org/officeDocument/2006/relationships/footer" Target="footer1.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Broken Horizon GDD-07 - Persistent War, Sectors, Routes, and Strategic Map</dc:title>
  <dc:subject>Separable modular game design document</dc:subject>
  <dc:creator>Broken Horizon Development Team</dc:creator>
  <cp:keywords>Broken Horizon, GDD, tactical FPS, persistent war, Unreal Engine</cp:keywords>
  <dc:description>generated by python-docx</dc:description>
  <cp:lastModifiedBy/>
  <cp:revision>1</cp:revision>
  <dcterms:created xsi:type="dcterms:W3CDTF">2013-12-23T23:15:00Z</dcterms:created>
  <dcterms:modified xsi:type="dcterms:W3CDTF">2013-12-23T23:15:00Z</dcterms:modified>
  <cp:category/>
</cp:coreProperties>
</file>