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pPr>
      <w:r>
        <w:rPr>
          <w:b/>
          <w:color w:val="C96D2D"/>
          <w:sz w:val="22"/>
        </w:rPr>
        <w:t>GDD-08</w:t>
      </w:r>
    </w:p>
    <w:p>
      <w:pPr>
        <w:pStyle w:val="Title"/>
      </w:pPr>
      <w:r>
        <w:t>World, Level, Art, and Audio Direction</w:t>
      </w:r>
    </w:p>
    <w:p>
      <w:pPr>
        <w:pStyle w:val="Subtitle"/>
      </w:pPr>
      <w:r>
        <w:t>Standalone production module for the cooperative multiplayer game design</w:t>
      </w:r>
    </w:p>
    <w:tbl>
      <w:tblPr>
        <w:tblStyle w:val="TableGrid"/>
        <w:tblW w:type="auto" w:w="0"/>
        <w:jc w:val="center"/>
        <w:tblLook w:firstColumn="1" w:firstRow="1" w:lastColumn="0" w:lastRow="0" w:noHBand="0" w:noVBand="1" w:val="04A0"/>
      </w:tblPr>
      <w:tblGrid>
        <w:gridCol w:w="4968"/>
        <w:gridCol w:w="4968"/>
      </w:tblGrid>
      <w:tr>
        <w:tc>
          <w:tcPr>
            <w:tcW w:type="dxa" w:w="4968"/>
            <w:shd w:fill="E8EEF2"/>
          </w:tcPr>
          <w:p>
            <w:pPr>
              <w:spacing w:after="0"/>
            </w:pPr>
            <w:r>
              <w:rPr>
                <w:b/>
                <w:color w:val="162735"/>
              </w:rPr>
              <w:t>Module owner</w:t>
            </w:r>
          </w:p>
        </w:tc>
        <w:tc>
          <w:tcPr>
            <w:tcW w:type="dxa" w:w="4968"/>
          </w:tcPr>
          <w:p>
            <w:pPr>
              <w:spacing w:after="0"/>
            </w:pPr>
            <w:r>
              <w:t>World Director / Art Director / Audio Director</w:t>
            </w:r>
          </w:p>
        </w:tc>
      </w:tr>
      <w:tr>
        <w:tc>
          <w:tcPr>
            <w:tcW w:type="dxa" w:w="4968"/>
            <w:shd w:fill="E8EEF2"/>
          </w:tcPr>
          <w:p>
            <w:pPr>
              <w:spacing w:after="0"/>
            </w:pPr>
            <w:r>
              <w:rPr>
                <w:b/>
                <w:color w:val="162735"/>
              </w:rPr>
              <w:t>Depends on</w:t>
            </w:r>
          </w:p>
        </w:tc>
        <w:tc>
          <w:tcPr>
            <w:tcW w:type="dxa" w:w="4968"/>
          </w:tcPr>
          <w:p>
            <w:pPr>
              <w:spacing w:after="0"/>
            </w:pPr>
            <w:r>
              <w:t>GDD-01, GDD-03, GDD-05, GDD-06</w:t>
            </w:r>
          </w:p>
        </w:tc>
      </w:tr>
      <w:tr>
        <w:tc>
          <w:tcPr>
            <w:tcW w:type="dxa" w:w="4968"/>
            <w:shd w:fill="E8EEF2"/>
          </w:tcPr>
          <w:p>
            <w:pPr>
              <w:spacing w:after="0"/>
            </w:pPr>
            <w:r>
              <w:rPr>
                <w:b/>
                <w:color w:val="162735"/>
              </w:rPr>
              <w:t>Publishes</w:t>
            </w:r>
          </w:p>
        </w:tc>
        <w:tc>
          <w:tcPr>
            <w:tcW w:type="dxa" w:w="4968"/>
          </w:tcPr>
          <w:p>
            <w:pPr>
              <w:spacing w:after="0"/>
            </w:pPr>
            <w:r>
              <w:t>World grammar, encounter geometry, visual language, audio and performance rules</w:t>
            </w:r>
          </w:p>
        </w:tc>
      </w:tr>
      <w:tr>
        <w:tc>
          <w:tcPr>
            <w:tcW w:type="dxa" w:w="4968"/>
            <w:shd w:fill="E8EEF2"/>
          </w:tcPr>
          <w:p>
            <w:pPr>
              <w:spacing w:after="0"/>
            </w:pPr>
            <w:r>
              <w:rPr>
                <w:b/>
                <w:color w:val="162735"/>
              </w:rPr>
              <w:t>Change rule</w:t>
            </w:r>
          </w:p>
        </w:tc>
        <w:tc>
          <w:tcPr>
            <w:tcW w:type="dxa" w:w="4968"/>
          </w:tcPr>
          <w:p>
            <w:pPr>
              <w:spacing w:after="0"/>
            </w:pPr>
            <w:r>
              <w:t>Update this module first, then review every listed consumer in the master index.</w:t>
            </w:r>
          </w:p>
        </w:tc>
      </w:tr>
    </w:tbl>
    <w:p/>
    <w:p>
      <w:pPr>
        <w:pStyle w:val="Heading1"/>
        <w:keepNext/>
      </w:pPr>
      <w:r>
        <w:t>Module Boundary Contract</w:t>
      </w:r>
    </w:p>
    <w:p>
      <w:pPr>
        <w:pStyle w:val="ListBullet"/>
      </w:pPr>
      <w:r>
        <w:t>This file may be assigned, reviewed, versioned, or replaced independently.</w:t>
      </w:r>
    </w:p>
    <w:p>
      <w:pPr>
        <w:pStyle w:val="ListBullet"/>
      </w:pPr>
      <w:r>
        <w:t>Terms and IDs published by this module are interfaces; downstream modules consume them without redefining them.</w:t>
      </w:r>
    </w:p>
    <w:p>
      <w:pPr>
        <w:pStyle w:val="ListBullet"/>
      </w:pPr>
      <w:r>
        <w:t>Cross-module changes require an impact review against the master dependency register.</w:t>
      </w:r>
    </w:p>
    <w:p>
      <w:pPr>
        <w:pStyle w:val="ListBullet"/>
      </w:pPr>
      <w:r>
        <w:t>Implementation values remain tunable unless explicitly identified as a persistence, objective, asset-path, or network contract.</w:t>
      </w:r>
    </w:p>
    <w:p>
      <w:pPr>
        <w:pStyle w:val="Heading1"/>
      </w:pPr>
      <w:r>
        <w:t>Design Specification</w:t>
      </w:r>
    </w:p>
    <w:p>
      <w:pPr>
        <w:pStyle w:val="Heading2"/>
      </w:pPr>
      <w:r>
        <w:t>World Structure</w:t>
      </w:r>
    </w:p>
    <w:p>
      <w:r>
        <w:t>The game uses a connected regional world centered on sectors, routes, forward bases, industrial sites, settlements, forests, passes, and communications infrastructure. Traversal space must earn its existence through sightline decisions, route risk, logistics, ambient war activity, or environmental storytelling. Empty distance without decision value is compressed.</w:t>
      </w:r>
    </w:p>
    <w:p>
      <w:pPr>
        <w:pStyle w:val="Heading2"/>
      </w:pPr>
      <w:r>
        <w:t>Level Design Grammar</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800"/>
            <w:shd w:fill="162735"/>
            <w:vAlign w:val="center"/>
            <w:tcMar>
              <w:top w:w="90" w:type="dxa"/>
              <w:start w:w="110" w:type="dxa"/>
              <w:bottom w:w="90" w:type="dxa"/>
              <w:end w:w="110" w:type="dxa"/>
            </w:tcMar>
          </w:tcPr>
          <w:p>
            <w:r>
              <w:rPr>
                <w:b/>
                <w:color w:val="FFFFFF"/>
                <w:sz w:val="18"/>
              </w:rPr>
              <w:t>Scale</w:t>
            </w:r>
          </w:p>
        </w:tc>
        <w:tc>
          <w:tcPr>
            <w:tcW w:type="dxa" w:w="7920"/>
            <w:shd w:fill="162735"/>
            <w:vAlign w:val="center"/>
            <w:tcMar>
              <w:top w:w="90" w:type="dxa"/>
              <w:start w:w="110" w:type="dxa"/>
              <w:bottom w:w="90" w:type="dxa"/>
              <w:end w:w="110" w:type="dxa"/>
            </w:tcMar>
          </w:tcPr>
          <w:p>
            <w:r>
              <w:rPr>
                <w:b/>
                <w:color w:val="FFFFFF"/>
                <w:sz w:val="18"/>
              </w:rPr>
              <w:t>Required ingredients</w:t>
            </w:r>
          </w:p>
        </w:tc>
      </w:tr>
      <w:tr>
        <w:tc>
          <w:tcPr>
            <w:tcW w:type="dxa" w:w="1800"/>
            <w:vAlign w:val="top"/>
            <w:tcMar>
              <w:top w:w="90" w:type="dxa"/>
              <w:start w:w="110" w:type="dxa"/>
              <w:bottom w:w="90" w:type="dxa"/>
              <w:end w:w="110" w:type="dxa"/>
            </w:tcMar>
          </w:tcPr>
          <w:p>
            <w:pPr>
              <w:spacing w:after="0"/>
            </w:pPr>
            <w:r>
              <w:rPr>
                <w:sz w:val="18"/>
              </w:rPr>
              <w:t>Regional</w:t>
            </w:r>
          </w:p>
        </w:tc>
        <w:tc>
          <w:tcPr>
            <w:tcW w:type="dxa" w:w="7920"/>
            <w:vAlign w:val="top"/>
            <w:tcMar>
              <w:top w:w="90" w:type="dxa"/>
              <w:start w:w="110" w:type="dxa"/>
              <w:bottom w:w="90" w:type="dxa"/>
              <w:end w:w="110" w:type="dxa"/>
            </w:tcMar>
          </w:tcPr>
          <w:p>
            <w:pPr>
              <w:spacing w:after="0"/>
            </w:pPr>
            <w:r>
              <w:rPr>
                <w:sz w:val="18"/>
              </w:rPr>
              <w:t>Recognizable horizon landmarks, route loops, supply connections, controlled streaming, plausible travel times.</w:t>
            </w:r>
          </w:p>
        </w:tc>
      </w:tr>
      <w:tr>
        <w:tc>
          <w:tcPr>
            <w:tcW w:type="dxa" w:w="1800"/>
            <w:shd w:fill="F4F6F7"/>
            <w:vAlign w:val="top"/>
            <w:tcMar>
              <w:top w:w="90" w:type="dxa"/>
              <w:start w:w="110" w:type="dxa"/>
              <w:bottom w:w="90" w:type="dxa"/>
              <w:end w:w="110" w:type="dxa"/>
            </w:tcMar>
          </w:tcPr>
          <w:p>
            <w:pPr>
              <w:spacing w:after="0"/>
            </w:pPr>
            <w:r>
              <w:rPr>
                <w:sz w:val="18"/>
              </w:rPr>
              <w:t>Sector</w:t>
            </w:r>
          </w:p>
        </w:tc>
        <w:tc>
          <w:tcPr>
            <w:tcW w:type="dxa" w:w="7920"/>
            <w:shd w:fill="F4F6F7"/>
            <w:vAlign w:val="top"/>
            <w:tcMar>
              <w:top w:w="90" w:type="dxa"/>
              <w:start w:w="110" w:type="dxa"/>
              <w:bottom w:w="90" w:type="dxa"/>
              <w:end w:w="110" w:type="dxa"/>
            </w:tcMar>
          </w:tcPr>
          <w:p>
            <w:pPr>
              <w:spacing w:after="0"/>
            </w:pPr>
            <w:r>
              <w:rPr>
                <w:sz w:val="18"/>
              </w:rPr>
              <w:t>Anchor, entry vectors, defensible geometry, flanking path, logistics relationship, civilian or industrial context.</w:t>
            </w:r>
          </w:p>
        </w:tc>
      </w:tr>
      <w:tr>
        <w:tc>
          <w:tcPr>
            <w:tcW w:type="dxa" w:w="1800"/>
            <w:vAlign w:val="top"/>
            <w:tcMar>
              <w:top w:w="90" w:type="dxa"/>
              <w:start w:w="110" w:type="dxa"/>
              <w:bottom w:w="90" w:type="dxa"/>
              <w:end w:w="110" w:type="dxa"/>
            </w:tcMar>
          </w:tcPr>
          <w:p>
            <w:pPr>
              <w:spacing w:after="0"/>
            </w:pPr>
            <w:r>
              <w:rPr>
                <w:sz w:val="18"/>
              </w:rPr>
              <w:t>Encounter</w:t>
            </w:r>
          </w:p>
        </w:tc>
        <w:tc>
          <w:tcPr>
            <w:tcW w:type="dxa" w:w="7920"/>
            <w:vAlign w:val="top"/>
            <w:tcMar>
              <w:top w:w="90" w:type="dxa"/>
              <w:start w:w="110" w:type="dxa"/>
              <w:bottom w:w="90" w:type="dxa"/>
              <w:end w:w="110" w:type="dxa"/>
            </w:tcMar>
          </w:tcPr>
          <w:p>
            <w:pPr>
              <w:spacing w:after="0"/>
            </w:pPr>
            <w:r>
              <w:rPr>
                <w:sz w:val="18"/>
              </w:rPr>
              <w:t>Cover chain, exposure crossing, vertical option, retreat route, readable objective, AI navigation redundancy.</w:t>
            </w:r>
          </w:p>
        </w:tc>
      </w:tr>
      <w:tr>
        <w:tc>
          <w:tcPr>
            <w:tcW w:type="dxa" w:w="1800"/>
            <w:shd w:fill="F4F6F7"/>
            <w:vAlign w:val="top"/>
            <w:tcMar>
              <w:top w:w="90" w:type="dxa"/>
              <w:start w:w="110" w:type="dxa"/>
              <w:bottom w:w="90" w:type="dxa"/>
              <w:end w:w="110" w:type="dxa"/>
            </w:tcMar>
          </w:tcPr>
          <w:p>
            <w:pPr>
              <w:spacing w:after="0"/>
            </w:pPr>
            <w:r>
              <w:rPr>
                <w:sz w:val="18"/>
              </w:rPr>
              <w:t>Interaction</w:t>
            </w:r>
          </w:p>
        </w:tc>
        <w:tc>
          <w:tcPr>
            <w:tcW w:type="dxa" w:w="7920"/>
            <w:shd w:fill="F4F6F7"/>
            <w:vAlign w:val="top"/>
            <w:tcMar>
              <w:top w:w="90" w:type="dxa"/>
              <w:start w:w="110" w:type="dxa"/>
              <w:bottom w:w="90" w:type="dxa"/>
              <w:end w:w="110" w:type="dxa"/>
            </w:tcMar>
          </w:tcPr>
          <w:p>
            <w:pPr>
              <w:spacing w:after="0"/>
            </w:pPr>
            <w:r>
              <w:rPr>
                <w:sz w:val="18"/>
              </w:rPr>
              <w:t>Clear affordance, safe approach space, feedback, persistence ID when state survives reload.</w:t>
            </w:r>
          </w:p>
        </w:tc>
      </w:tr>
    </w:tbl>
    <w:p>
      <w:pPr>
        <w:spacing w:after="0"/>
      </w:pPr>
    </w:p>
    <w:p>
      <w:pPr>
        <w:pStyle w:val="Heading2"/>
      </w:pPr>
      <w:r>
        <w:t>Art Direction</w:t>
      </w:r>
    </w:p>
    <w:p>
      <w:r>
        <w:t>The visual target is a cold, wet dawn in a fictional Eastern European mountain region. Architecture is functional: weathered concrete, galvanized or painted steel, worn asphalt, service roads, drainage, cables, antennas, maintenance access, and practical defensive additions. Technology is incremental and rugged rather than futuristic.</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656"/>
            <w:shd w:fill="162735"/>
            <w:vAlign w:val="center"/>
            <w:tcMar>
              <w:top w:w="90" w:type="dxa"/>
              <w:start w:w="110" w:type="dxa"/>
              <w:bottom w:w="90" w:type="dxa"/>
              <w:end w:w="110" w:type="dxa"/>
            </w:tcMar>
          </w:tcPr>
          <w:p>
            <w:r>
              <w:rPr>
                <w:b/>
                <w:color w:val="FFFFFF"/>
                <w:sz w:val="18"/>
              </w:rPr>
              <w:t>Category</w:t>
            </w:r>
          </w:p>
        </w:tc>
        <w:tc>
          <w:tcPr>
            <w:tcW w:type="dxa" w:w="4392"/>
            <w:shd w:fill="162735"/>
            <w:vAlign w:val="center"/>
            <w:tcMar>
              <w:top w:w="90" w:type="dxa"/>
              <w:start w:w="110" w:type="dxa"/>
              <w:bottom w:w="90" w:type="dxa"/>
              <w:end w:w="110" w:type="dxa"/>
            </w:tcMar>
          </w:tcPr>
          <w:p>
            <w:r>
              <w:rPr>
                <w:b/>
                <w:color w:val="FFFFFF"/>
                <w:sz w:val="18"/>
              </w:rPr>
              <w:t>Use</w:t>
            </w:r>
          </w:p>
        </w:tc>
        <w:tc>
          <w:tcPr>
            <w:tcW w:type="dxa" w:w="3672"/>
            <w:shd w:fill="162735"/>
            <w:vAlign w:val="center"/>
            <w:tcMar>
              <w:top w:w="90" w:type="dxa"/>
              <w:start w:w="110" w:type="dxa"/>
              <w:bottom w:w="90" w:type="dxa"/>
              <w:end w:w="110" w:type="dxa"/>
            </w:tcMar>
          </w:tcPr>
          <w:p>
            <w:r>
              <w:rPr>
                <w:b/>
                <w:color w:val="FFFFFF"/>
                <w:sz w:val="18"/>
              </w:rPr>
              <w:t>Avoid</w:t>
            </w:r>
          </w:p>
        </w:tc>
      </w:tr>
      <w:tr>
        <w:tc>
          <w:tcPr>
            <w:tcW w:type="dxa" w:w="1656"/>
            <w:vAlign w:val="top"/>
            <w:tcMar>
              <w:top w:w="90" w:type="dxa"/>
              <w:start w:w="110" w:type="dxa"/>
              <w:bottom w:w="90" w:type="dxa"/>
              <w:end w:w="110" w:type="dxa"/>
            </w:tcMar>
          </w:tcPr>
          <w:p>
            <w:pPr>
              <w:spacing w:after="0"/>
            </w:pPr>
            <w:r>
              <w:rPr>
                <w:sz w:val="18"/>
              </w:rPr>
              <w:t>Palette</w:t>
            </w:r>
          </w:p>
        </w:tc>
        <w:tc>
          <w:tcPr>
            <w:tcW w:type="dxa" w:w="4392"/>
            <w:vAlign w:val="top"/>
            <w:tcMar>
              <w:top w:w="90" w:type="dxa"/>
              <w:start w:w="110" w:type="dxa"/>
              <w:bottom w:w="90" w:type="dxa"/>
              <w:end w:w="110" w:type="dxa"/>
            </w:tcMar>
          </w:tcPr>
          <w:p>
            <w:pPr>
              <w:spacing w:after="0"/>
            </w:pPr>
            <w:r>
              <w:rPr>
                <w:sz w:val="18"/>
              </w:rPr>
              <w:t>Charcoal, gunmetal, muted olive, steel blue, concrete gray, desaturated forest</w:t>
            </w:r>
          </w:p>
        </w:tc>
        <w:tc>
          <w:tcPr>
            <w:tcW w:type="dxa" w:w="3672"/>
            <w:vAlign w:val="top"/>
            <w:tcMar>
              <w:top w:w="90" w:type="dxa"/>
              <w:start w:w="110" w:type="dxa"/>
              <w:bottom w:w="90" w:type="dxa"/>
              <w:end w:w="110" w:type="dxa"/>
            </w:tcMar>
          </w:tcPr>
          <w:p>
            <w:pPr>
              <w:spacing w:after="0"/>
            </w:pPr>
            <w:r>
              <w:rPr>
                <w:sz w:val="18"/>
              </w:rPr>
              <w:t>Oversaturated green, neon color coding</w:t>
            </w:r>
          </w:p>
        </w:tc>
      </w:tr>
      <w:tr>
        <w:tc>
          <w:tcPr>
            <w:tcW w:type="dxa" w:w="1656"/>
            <w:shd w:fill="F4F6F7"/>
            <w:vAlign w:val="top"/>
            <w:tcMar>
              <w:top w:w="90" w:type="dxa"/>
              <w:start w:w="110" w:type="dxa"/>
              <w:bottom w:w="90" w:type="dxa"/>
              <w:end w:w="110" w:type="dxa"/>
            </w:tcMar>
          </w:tcPr>
          <w:p>
            <w:pPr>
              <w:spacing w:after="0"/>
            </w:pPr>
            <w:r>
              <w:rPr>
                <w:sz w:val="18"/>
              </w:rPr>
              <w:t>Light</w:t>
            </w:r>
          </w:p>
        </w:tc>
        <w:tc>
          <w:tcPr>
            <w:tcW w:type="dxa" w:w="4392"/>
            <w:shd w:fill="F4F6F7"/>
            <w:vAlign w:val="top"/>
            <w:tcMar>
              <w:top w:w="90" w:type="dxa"/>
              <w:start w:w="110" w:type="dxa"/>
              <w:bottom w:w="90" w:type="dxa"/>
              <w:end w:w="110" w:type="dxa"/>
            </w:tcMar>
          </w:tcPr>
          <w:p>
            <w:pPr>
              <w:spacing w:after="0"/>
            </w:pPr>
            <w:r>
              <w:rPr>
                <w:sz w:val="18"/>
              </w:rPr>
              <w:t>Overcast dawn, subdued reflection, sparse burnt-orange security lamps</w:t>
            </w:r>
          </w:p>
        </w:tc>
        <w:tc>
          <w:tcPr>
            <w:tcW w:type="dxa" w:w="3672"/>
            <w:shd w:fill="F4F6F7"/>
            <w:vAlign w:val="top"/>
            <w:tcMar>
              <w:top w:w="90" w:type="dxa"/>
              <w:start w:w="110" w:type="dxa"/>
              <w:bottom w:w="90" w:type="dxa"/>
              <w:end w:w="110" w:type="dxa"/>
            </w:tcMar>
          </w:tcPr>
          <w:p>
            <w:pPr>
              <w:spacing w:after="0"/>
            </w:pPr>
            <w:r>
              <w:rPr>
                <w:sz w:val="18"/>
              </w:rPr>
              <w:t>Excess bloom, crushed blacks, omnipresent emissives</w:t>
            </w:r>
          </w:p>
        </w:tc>
      </w:tr>
      <w:tr>
        <w:tc>
          <w:tcPr>
            <w:tcW w:type="dxa" w:w="1656"/>
            <w:vAlign w:val="top"/>
            <w:tcMar>
              <w:top w:w="90" w:type="dxa"/>
              <w:start w:w="110" w:type="dxa"/>
              <w:bottom w:w="90" w:type="dxa"/>
              <w:end w:w="110" w:type="dxa"/>
            </w:tcMar>
          </w:tcPr>
          <w:p>
            <w:pPr>
              <w:spacing w:after="0"/>
            </w:pPr>
            <w:r>
              <w:rPr>
                <w:sz w:val="18"/>
              </w:rPr>
              <w:t>Material</w:t>
            </w:r>
          </w:p>
        </w:tc>
        <w:tc>
          <w:tcPr>
            <w:tcW w:type="dxa" w:w="4392"/>
            <w:vAlign w:val="top"/>
            <w:tcMar>
              <w:top w:w="90" w:type="dxa"/>
              <w:start w:w="110" w:type="dxa"/>
              <w:bottom w:w="90" w:type="dxa"/>
              <w:end w:w="110" w:type="dxa"/>
            </w:tcMar>
          </w:tcPr>
          <w:p>
            <w:pPr>
              <w:spacing w:after="0"/>
            </w:pPr>
            <w:r>
              <w:rPr>
                <w:sz w:val="18"/>
              </w:rPr>
              <w:t>Wet concrete, steel, mud, moss, timber, worn asphalt</w:t>
            </w:r>
          </w:p>
        </w:tc>
        <w:tc>
          <w:tcPr>
            <w:tcW w:type="dxa" w:w="3672"/>
            <w:vAlign w:val="top"/>
            <w:tcMar>
              <w:top w:w="90" w:type="dxa"/>
              <w:start w:w="110" w:type="dxa"/>
              <w:bottom w:w="90" w:type="dxa"/>
              <w:end w:w="110" w:type="dxa"/>
            </w:tcMar>
          </w:tcPr>
          <w:p>
            <w:pPr>
              <w:spacing w:after="0"/>
            </w:pPr>
            <w:r>
              <w:rPr>
                <w:sz w:val="18"/>
              </w:rPr>
              <w:t>Glossy sci-fi surfaces</w:t>
            </w:r>
          </w:p>
        </w:tc>
      </w:tr>
      <w:tr>
        <w:tc>
          <w:tcPr>
            <w:tcW w:type="dxa" w:w="1656"/>
            <w:shd w:fill="F4F6F7"/>
            <w:vAlign w:val="top"/>
            <w:tcMar>
              <w:top w:w="90" w:type="dxa"/>
              <w:start w:w="110" w:type="dxa"/>
              <w:bottom w:w="90" w:type="dxa"/>
              <w:end w:w="110" w:type="dxa"/>
            </w:tcMar>
          </w:tcPr>
          <w:p>
            <w:pPr>
              <w:spacing w:after="0"/>
            </w:pPr>
            <w:r>
              <w:rPr>
                <w:sz w:val="18"/>
              </w:rPr>
              <w:t>Composition</w:t>
            </w:r>
          </w:p>
        </w:tc>
        <w:tc>
          <w:tcPr>
            <w:tcW w:type="dxa" w:w="4392"/>
            <w:shd w:fill="F4F6F7"/>
            <w:vAlign w:val="top"/>
            <w:tcMar>
              <w:top w:w="90" w:type="dxa"/>
              <w:start w:w="110" w:type="dxa"/>
              <w:bottom w:w="90" w:type="dxa"/>
              <w:end w:w="110" w:type="dxa"/>
            </w:tcMar>
          </w:tcPr>
          <w:p>
            <w:pPr>
              <w:spacing w:after="0"/>
            </w:pPr>
            <w:r>
              <w:rPr>
                <w:sz w:val="18"/>
              </w:rPr>
              <w:t>Landmarks, readable paths, tactical silhouettes, protected sightlines</w:t>
            </w:r>
          </w:p>
        </w:tc>
        <w:tc>
          <w:tcPr>
            <w:tcW w:type="dxa" w:w="3672"/>
            <w:shd w:fill="F4F6F7"/>
            <w:vAlign w:val="top"/>
            <w:tcMar>
              <w:top w:w="90" w:type="dxa"/>
              <w:start w:w="110" w:type="dxa"/>
              <w:bottom w:w="90" w:type="dxa"/>
              <w:end w:w="110" w:type="dxa"/>
            </w:tcMar>
          </w:tcPr>
          <w:p>
            <w:pPr>
              <w:spacing w:after="0"/>
            </w:pPr>
            <w:r>
              <w:rPr>
                <w:sz w:val="18"/>
              </w:rPr>
              <w:t>Clutter that hides routes, pickups, prompts, or targets</w:t>
            </w:r>
          </w:p>
        </w:tc>
      </w:tr>
      <w:tr>
        <w:tc>
          <w:tcPr>
            <w:tcW w:type="dxa" w:w="1656"/>
            <w:vAlign w:val="top"/>
            <w:tcMar>
              <w:top w:w="90" w:type="dxa"/>
              <w:start w:w="110" w:type="dxa"/>
              <w:bottom w:w="90" w:type="dxa"/>
              <w:end w:w="110" w:type="dxa"/>
            </w:tcMar>
          </w:tcPr>
          <w:p>
            <w:pPr>
              <w:spacing w:after="0"/>
            </w:pPr>
            <w:r>
              <w:rPr>
                <w:sz w:val="18"/>
              </w:rPr>
              <w:t>Identity</w:t>
            </w:r>
          </w:p>
        </w:tc>
        <w:tc>
          <w:tcPr>
            <w:tcW w:type="dxa" w:w="4392"/>
            <w:vAlign w:val="top"/>
            <w:tcMar>
              <w:top w:w="90" w:type="dxa"/>
              <w:start w:w="110" w:type="dxa"/>
              <w:bottom w:w="90" w:type="dxa"/>
              <w:end w:w="110" w:type="dxa"/>
            </w:tcMar>
          </w:tcPr>
          <w:p>
            <w:pPr>
              <w:spacing w:after="0"/>
            </w:pPr>
            <w:r>
              <w:rPr>
                <w:sz w:val="18"/>
              </w:rPr>
              <w:t>Fictional symbols and neutral practical markings</w:t>
            </w:r>
          </w:p>
        </w:tc>
        <w:tc>
          <w:tcPr>
            <w:tcW w:type="dxa" w:w="3672"/>
            <w:vAlign w:val="top"/>
            <w:tcMar>
              <w:top w:w="90" w:type="dxa"/>
              <w:start w:w="110" w:type="dxa"/>
              <w:bottom w:w="90" w:type="dxa"/>
              <w:end w:w="110" w:type="dxa"/>
            </w:tcMar>
          </w:tcPr>
          <w:p>
            <w:pPr>
              <w:spacing w:after="0"/>
            </w:pPr>
            <w:r>
              <w:rPr>
                <w:sz w:val="18"/>
              </w:rPr>
              <w:t>Real flags, insignia, political slogans</w:t>
            </w:r>
          </w:p>
        </w:tc>
      </w:tr>
    </w:tbl>
    <w:p>
      <w:pPr>
        <w:spacing w:after="0"/>
      </w:pPr>
    </w:p>
    <w:p>
      <w:pPr>
        <w:pStyle w:val="Heading2"/>
      </w:pPr>
      <w:r>
        <w:t>Audio Direction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016"/>
            <w:shd w:fill="162735"/>
            <w:vAlign w:val="center"/>
            <w:tcMar>
              <w:top w:w="90" w:type="dxa"/>
              <w:start w:w="110" w:type="dxa"/>
              <w:bottom w:w="90" w:type="dxa"/>
              <w:end w:w="110" w:type="dxa"/>
            </w:tcMar>
          </w:tcPr>
          <w:p>
            <w:r>
              <w:rPr>
                <w:b/>
                <w:color w:val="FFFFFF"/>
                <w:sz w:val="18"/>
              </w:rPr>
              <w:t>Layer</w:t>
            </w:r>
          </w:p>
        </w:tc>
        <w:tc>
          <w:tcPr>
            <w:tcW w:type="dxa" w:w="7704"/>
            <w:shd w:fill="162735"/>
            <w:vAlign w:val="center"/>
            <w:tcMar>
              <w:top w:w="90" w:type="dxa"/>
              <w:start w:w="110" w:type="dxa"/>
              <w:bottom w:w="90" w:type="dxa"/>
              <w:end w:w="110" w:type="dxa"/>
            </w:tcMar>
          </w:tcPr>
          <w:p>
            <w:r>
              <w:rPr>
                <w:b/>
                <w:color w:val="FFFFFF"/>
                <w:sz w:val="18"/>
              </w:rPr>
              <w:t>Design goal</w:t>
            </w:r>
          </w:p>
        </w:tc>
      </w:tr>
      <w:tr>
        <w:tc>
          <w:tcPr>
            <w:tcW w:type="dxa" w:w="2016"/>
            <w:vAlign w:val="top"/>
            <w:tcMar>
              <w:top w:w="90" w:type="dxa"/>
              <w:start w:w="110" w:type="dxa"/>
              <w:bottom w:w="90" w:type="dxa"/>
              <w:end w:w="110" w:type="dxa"/>
            </w:tcMar>
          </w:tcPr>
          <w:p>
            <w:pPr>
              <w:spacing w:after="0"/>
            </w:pPr>
            <w:r>
              <w:rPr>
                <w:sz w:val="18"/>
              </w:rPr>
              <w:t>Weapons</w:t>
            </w:r>
          </w:p>
        </w:tc>
        <w:tc>
          <w:tcPr>
            <w:tcW w:type="dxa" w:w="7704"/>
            <w:vAlign w:val="top"/>
            <w:tcMar>
              <w:top w:w="90" w:type="dxa"/>
              <w:start w:w="110" w:type="dxa"/>
              <w:bottom w:w="90" w:type="dxa"/>
              <w:end w:w="110" w:type="dxa"/>
            </w:tcMar>
          </w:tcPr>
          <w:p>
            <w:pPr>
              <w:spacing w:after="0"/>
            </w:pPr>
            <w:r>
              <w:rPr>
                <w:sz w:val="18"/>
              </w:rPr>
              <w:t>Sharp mechanical identity, indoor/outdoor tails, suppressed near-miss language, no cinematic over-compression.</w:t>
            </w:r>
          </w:p>
        </w:tc>
      </w:tr>
      <w:tr>
        <w:tc>
          <w:tcPr>
            <w:tcW w:type="dxa" w:w="2016"/>
            <w:shd w:fill="F4F6F7"/>
            <w:vAlign w:val="top"/>
            <w:tcMar>
              <w:top w:w="90" w:type="dxa"/>
              <w:start w:w="110" w:type="dxa"/>
              <w:bottom w:w="90" w:type="dxa"/>
              <w:end w:w="110" w:type="dxa"/>
            </w:tcMar>
          </w:tcPr>
          <w:p>
            <w:pPr>
              <w:spacing w:after="0"/>
            </w:pPr>
            <w:r>
              <w:rPr>
                <w:sz w:val="18"/>
              </w:rPr>
              <w:t>Movement</w:t>
            </w:r>
          </w:p>
        </w:tc>
        <w:tc>
          <w:tcPr>
            <w:tcW w:type="dxa" w:w="7704"/>
            <w:shd w:fill="F4F6F7"/>
            <w:vAlign w:val="top"/>
            <w:tcMar>
              <w:top w:w="90" w:type="dxa"/>
              <w:start w:w="110" w:type="dxa"/>
              <w:bottom w:w="90" w:type="dxa"/>
              <w:end w:w="110" w:type="dxa"/>
            </w:tcMar>
          </w:tcPr>
          <w:p>
            <w:pPr>
              <w:spacing w:after="0"/>
            </w:pPr>
            <w:r>
              <w:rPr>
                <w:sz w:val="18"/>
              </w:rPr>
              <w:t>Surface, posture, equipment, and speed communicate risk to player and AI.</w:t>
            </w:r>
          </w:p>
        </w:tc>
      </w:tr>
      <w:tr>
        <w:tc>
          <w:tcPr>
            <w:tcW w:type="dxa" w:w="2016"/>
            <w:vAlign w:val="top"/>
            <w:tcMar>
              <w:top w:w="90" w:type="dxa"/>
              <w:start w:w="110" w:type="dxa"/>
              <w:bottom w:w="90" w:type="dxa"/>
              <w:end w:w="110" w:type="dxa"/>
            </w:tcMar>
          </w:tcPr>
          <w:p>
            <w:pPr>
              <w:spacing w:after="0"/>
            </w:pPr>
            <w:r>
              <w:rPr>
                <w:sz w:val="18"/>
              </w:rPr>
              <w:t>Weather/world</w:t>
            </w:r>
          </w:p>
        </w:tc>
        <w:tc>
          <w:tcPr>
            <w:tcW w:type="dxa" w:w="7704"/>
            <w:vAlign w:val="top"/>
            <w:tcMar>
              <w:top w:w="90" w:type="dxa"/>
              <w:start w:w="110" w:type="dxa"/>
              <w:bottom w:w="90" w:type="dxa"/>
              <w:end w:w="110" w:type="dxa"/>
            </w:tcMar>
          </w:tcPr>
          <w:p>
            <w:pPr>
              <w:spacing w:after="0"/>
            </w:pPr>
            <w:r>
              <w:rPr>
                <w:sz w:val="18"/>
              </w:rPr>
              <w:t>Wind, rain, trees, distant machinery, generators, cable hum, structural resonance.</w:t>
            </w:r>
          </w:p>
        </w:tc>
      </w:tr>
      <w:tr>
        <w:tc>
          <w:tcPr>
            <w:tcW w:type="dxa" w:w="2016"/>
            <w:shd w:fill="F4F6F7"/>
            <w:vAlign w:val="top"/>
            <w:tcMar>
              <w:top w:w="90" w:type="dxa"/>
              <w:start w:w="110" w:type="dxa"/>
              <w:bottom w:w="90" w:type="dxa"/>
              <w:end w:w="110" w:type="dxa"/>
            </w:tcMar>
          </w:tcPr>
          <w:p>
            <w:pPr>
              <w:spacing w:after="0"/>
            </w:pPr>
            <w:r>
              <w:rPr>
                <w:sz w:val="18"/>
              </w:rPr>
              <w:t>War bed</w:t>
            </w:r>
          </w:p>
        </w:tc>
        <w:tc>
          <w:tcPr>
            <w:tcW w:type="dxa" w:w="7704"/>
            <w:shd w:fill="F4F6F7"/>
            <w:vAlign w:val="top"/>
            <w:tcMar>
              <w:top w:w="90" w:type="dxa"/>
              <w:start w:w="110" w:type="dxa"/>
              <w:bottom w:w="90" w:type="dxa"/>
              <w:end w:w="110" w:type="dxa"/>
            </w:tcMar>
          </w:tcPr>
          <w:p>
            <w:pPr>
              <w:spacing w:after="0"/>
            </w:pPr>
            <w:r>
              <w:rPr>
                <w:sz w:val="18"/>
              </w:rPr>
              <w:t>Distant artillery, aircraft, and intermittent small arms imply a wider front without constant spectacle.</w:t>
            </w:r>
          </w:p>
        </w:tc>
      </w:tr>
      <w:tr>
        <w:tc>
          <w:tcPr>
            <w:tcW w:type="dxa" w:w="2016"/>
            <w:vAlign w:val="top"/>
            <w:tcMar>
              <w:top w:w="90" w:type="dxa"/>
              <w:start w:w="110" w:type="dxa"/>
              <w:bottom w:w="90" w:type="dxa"/>
              <w:end w:w="110" w:type="dxa"/>
            </w:tcMar>
          </w:tcPr>
          <w:p>
            <w:pPr>
              <w:spacing w:after="0"/>
            </w:pPr>
            <w:r>
              <w:rPr>
                <w:sz w:val="18"/>
              </w:rPr>
              <w:t>AI voice</w:t>
            </w:r>
          </w:p>
        </w:tc>
        <w:tc>
          <w:tcPr>
            <w:tcW w:type="dxa" w:w="7704"/>
            <w:vAlign w:val="top"/>
            <w:tcMar>
              <w:top w:w="90" w:type="dxa"/>
              <w:start w:w="110" w:type="dxa"/>
              <w:bottom w:w="90" w:type="dxa"/>
              <w:end w:w="110" w:type="dxa"/>
            </w:tcMar>
          </w:tcPr>
          <w:p>
            <w:pPr>
              <w:spacing w:after="0"/>
            </w:pPr>
            <w:r>
              <w:rPr>
                <w:sz w:val="18"/>
              </w:rPr>
              <w:t>Short fictional-language or neutral barks for alert, contact, reload, grenade, casualty, retreat, and search.</w:t>
            </w:r>
          </w:p>
        </w:tc>
      </w:tr>
      <w:tr>
        <w:tc>
          <w:tcPr>
            <w:tcW w:type="dxa" w:w="2016"/>
            <w:shd w:fill="F4F6F7"/>
            <w:vAlign w:val="top"/>
            <w:tcMar>
              <w:top w:w="90" w:type="dxa"/>
              <w:start w:w="110" w:type="dxa"/>
              <w:bottom w:w="90" w:type="dxa"/>
              <w:end w:w="110" w:type="dxa"/>
            </w:tcMar>
          </w:tcPr>
          <w:p>
            <w:pPr>
              <w:spacing w:after="0"/>
            </w:pPr>
            <w:r>
              <w:rPr>
                <w:sz w:val="18"/>
              </w:rPr>
              <w:t>UI</w:t>
            </w:r>
          </w:p>
        </w:tc>
        <w:tc>
          <w:tcPr>
            <w:tcW w:type="dxa" w:w="7704"/>
            <w:shd w:fill="F4F6F7"/>
            <w:vAlign w:val="top"/>
            <w:tcMar>
              <w:top w:w="90" w:type="dxa"/>
              <w:start w:w="110" w:type="dxa"/>
              <w:bottom w:w="90" w:type="dxa"/>
              <w:end w:w="110" w:type="dxa"/>
            </w:tcMar>
          </w:tcPr>
          <w:p>
            <w:pPr>
              <w:spacing w:after="0"/>
            </w:pPr>
            <w:r>
              <w:rPr>
                <w:sz w:val="18"/>
              </w:rPr>
              <w:t>Quiet confirmation; strategic warnings are distinct from immediate combat alarms.</w:t>
            </w:r>
          </w:p>
        </w:tc>
      </w:tr>
    </w:tbl>
    <w:p>
      <w:pPr>
        <w:spacing w:after="0"/>
      </w:pPr>
    </w:p>
    <w:p>
      <w:pPr>
        <w:pStyle w:val="Heading2"/>
      </w:pPr>
      <w:r>
        <w:t>Music</w:t>
      </w:r>
    </w:p>
    <w:p>
      <w:r>
        <w:t>Music is sparse. Textural low strings, processed percussion, and restrained electronic pulses support approach and consequence. Combat music should not reveal enemies before the simulation does. Silence and environmental sound are primary tension tools.</w:t>
      </w:r>
    </w:p>
    <w:p>
      <w:pPr>
        <w:pStyle w:val="Heading2"/>
      </w:pPr>
      <w:r>
        <w:t>Performance-Aware Art Rules</w:t>
      </w:r>
    </w:p>
    <w:p>
      <w:pPr>
        <w:pStyle w:val="ListBullet"/>
      </w:pPr>
      <w:r>
        <w:t>Modular kits, trim sheets, shared material instances, decals, HISM, and disciplined LODs.</w:t>
      </w:r>
    </w:p>
    <w:p>
      <w:pPr>
        <w:pStyle w:val="ListBullet"/>
      </w:pPr>
      <w:r>
        <w:t>Conservative shadow-casting lights; orange accents identify function, not decoration.</w:t>
      </w:r>
    </w:p>
    <w:p>
      <w:pPr>
        <w:pStyle w:val="ListBullet"/>
      </w:pPr>
      <w:r>
        <w:t>Scalable fog, reflection, foliage, and shadow tiers with a stable readability floor.</w:t>
      </w:r>
    </w:p>
    <w:p>
      <w:pPr>
        <w:pStyle w:val="ListBullet"/>
      </w:pPr>
      <w:r>
        <w:t>World Partition and navigation invokers must preserve arrival and combat reliability.</w:t>
      </w:r>
    </w:p>
    <w:p>
      <w:pPr>
        <w:pStyle w:val="Heading1"/>
      </w:pPr>
      <w:r>
        <w:t>Module Exit Checklist</w:t>
      </w:r>
    </w:p>
    <w:p>
      <w:pPr>
        <w:pStyle w:val="ListBullet"/>
      </w:pPr>
      <w:r>
        <w:t>The module can be read without another file to understand its owned decisions.</w:t>
      </w:r>
    </w:p>
    <w:p>
      <w:pPr>
        <w:pStyle w:val="ListBullet"/>
      </w:pPr>
      <w:r>
        <w:t>Every external dependency is named in the header and not silently duplicated.</w:t>
      </w:r>
    </w:p>
    <w:p>
      <w:pPr>
        <w:pStyle w:val="ListBullet"/>
      </w:pPr>
      <w:r>
        <w:t>Every published interface uses stable terminology consistent with the master index.</w:t>
      </w:r>
    </w:p>
    <w:p>
      <w:pPr>
        <w:pStyle w:val="ListBullet"/>
      </w:pPr>
      <w:r>
        <w:t>Multiplayer authority, replication, reconnect, and persistence implications are addressed where relevant.</w:t>
      </w:r>
    </w:p>
    <w:p>
      <w:pPr>
        <w:pStyle w:val="ListBullet"/>
      </w:pPr>
      <w:r>
        <w:t>Acceptance criteria are testable and assignable to a discipline.</w:t>
      </w:r>
    </w:p>
    <w:p>
      <w:pPr>
        <w:pStyle w:val="ListBullet"/>
      </w:pPr>
      <w:r>
        <w:t>Changes to objective IDs, persistence IDs, reflected names, paths, or save fields include a consumer audit.</w:t>
      </w:r>
    </w:p>
    <w:p>
      <w:pPr>
        <w:spacing w:before="200"/>
      </w:pPr>
      <w:r>
        <w:rPr>
          <w:b/>
          <w:color w:val="35566E"/>
        </w:rPr>
        <w:t>End of GDD-08  /  World, Level, Art, and Audio Direction</w:t>
      </w:r>
    </w:p>
    <w:sectPr w:rsidR="00FC693F" w:rsidRPr="0006063C" w:rsidSect="00034616">
      <w:headerReference w:type="default" r:id="rId9"/>
      <w:footerReference w:type="default" r:id="rId10"/>
      <w:pgSz w:w="12240" w:h="15840"/>
      <w:pgMar w:top="1080"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C76"/>
        <w:sz w:val="16"/>
      </w:rPr>
      <w:t xml:space="preserve">VERSION 1.1  |  29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rFonts w:ascii="Aptos" w:hAnsi="Aptos"/>
        <w:b/>
        <w:color w:val="5E6C76"/>
        <w:sz w:val="16"/>
      </w:rPr>
      <w:t>BROKEN HORIZON  /  MODULAR GDD  /  GDD-08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720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62735"/>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35566E"/>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C96D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62735"/>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5E6C7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5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hanging="25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eader" Target="header1.xml" /><ns0:Relationship Id="rId10" Type="http://schemas.openxmlformats.org/officeDocument/2006/relationships/footer" Target="footer1.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Broken Horizon GDD-08 - World, Level, Art, and Audio Direction</dc:title>
  <dc:subject>Separable modular game design document</dc:subject>
  <dc:creator>Broken Horizon Development Team</dc:creator>
  <cp:keywords>Broken Horizon, GDD, tactical FPS, persistent war, Unreal Engine</cp:keywords>
  <dc:description>generated by python-docx</dc:description>
  <cp:lastModifiedBy/>
  <cp:revision>1</cp:revision>
  <dcterms:created xsi:type="dcterms:W3CDTF">2013-12-23T23:15:00Z</dcterms:created>
  <dcterms:modified xsi:type="dcterms:W3CDTF">2013-12-23T23:15:00Z</dcterms:modified>
  <cp:category/>
</cp:coreProperties>
</file>