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b/>
          <w:color w:val="C96D2D"/>
          <w:sz w:val="22"/>
        </w:rPr>
        <w:t>GDD-11</w:t>
      </w:r>
    </w:p>
    <w:p>
      <w:pPr>
        <w:pStyle w:val="Title"/>
      </w:pPr>
      <w:r>
        <w:t>Technical Architecture, Content Pipeline, Analytics, and QA</w:t>
      </w:r>
    </w:p>
    <w:p>
      <w:pPr>
        <w:pStyle w:val="Subtitle"/>
      </w:pPr>
      <w:r>
        <w:t>Standalone production module for the cooperative multiplayer game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Module owner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Technical Director / QA Lead</w:t>
            </w:r>
          </w:p>
        </w:tc>
      </w:tr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Depends on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All design modules</w:t>
            </w:r>
          </w:p>
        </w:tc>
      </w:tr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Publishes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System ownership, network architecture, authoring contracts, telemetry, validation matrix</w:t>
            </w:r>
          </w:p>
        </w:tc>
      </w:tr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Change rule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Update this module first, then review every listed consumer in the master index.</w:t>
            </w:r>
          </w:p>
        </w:tc>
      </w:tr>
    </w:tbl>
    <w:p/>
    <w:p>
      <w:pPr>
        <w:pStyle w:val="Heading1"/>
        <w:keepNext/>
      </w:pPr>
      <w:r>
        <w:t>Module Boundary Contract</w:t>
      </w:r>
    </w:p>
    <w:p>
      <w:pPr>
        <w:pStyle w:val="ListBullet"/>
      </w:pPr>
      <w:r>
        <w:t>This file may be assigned, reviewed, versioned, or replaced independently.</w:t>
      </w:r>
    </w:p>
    <w:p>
      <w:pPr>
        <w:pStyle w:val="ListBullet"/>
      </w:pPr>
      <w:r>
        <w:t>Terms and IDs published by this module are interfaces; downstream modules consume them without redefining them.</w:t>
      </w:r>
    </w:p>
    <w:p>
      <w:pPr>
        <w:pStyle w:val="ListBullet"/>
      </w:pPr>
      <w:r>
        <w:t>Cross-module changes require an impact review against the master dependency register.</w:t>
      </w:r>
    </w:p>
    <w:p>
      <w:pPr>
        <w:pStyle w:val="ListBullet"/>
      </w:pPr>
      <w:r>
        <w:t>Implementation values remain tunable unless explicitly identified as a persistence, objective, asset-path, or network contract.</w:t>
      </w:r>
    </w:p>
    <w:p>
      <w:pPr>
        <w:pStyle w:val="Heading1"/>
      </w:pPr>
      <w:r>
        <w:t>Design Specification</w:t>
      </w:r>
    </w:p>
    <w:p>
      <w:pPr>
        <w:pStyle w:val="Heading2"/>
      </w:pPr>
      <w:r>
        <w:t>Engine and Runtime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232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488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Current direction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Engine</w:t>
            </w:r>
          </w:p>
        </w:tc>
        <w:tc>
          <w:tcPr>
            <w:tcW w:type="dxa" w:w="74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Unreal Engine 5.8; C++ runtime module with Blueprint-facing APIs.</w:t>
            </w:r>
          </w:p>
        </w:tc>
      </w:tr>
      <w:tr>
        <w:tc>
          <w:tcPr>
            <w:tcW w:type="dxa" w:w="2232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Networking</w:t>
            </w:r>
          </w:p>
        </w:tc>
        <w:tc>
          <w:tcPr>
            <w:tcW w:type="dxa" w:w="748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Server-authoritative cooperative play; replicated GameState snapshots, components, actors, RPCs, multicast presentation, listen and dedicated server paths.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Input</w:t>
            </w:r>
          </w:p>
        </w:tc>
        <w:tc>
          <w:tcPr>
            <w:tcW w:type="dxa" w:w="74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Enhanced Input.</w:t>
            </w:r>
          </w:p>
        </w:tc>
      </w:tr>
      <w:tr>
        <w:tc>
          <w:tcPr>
            <w:tcW w:type="dxa" w:w="2232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AI</w:t>
            </w:r>
          </w:p>
        </w:tc>
        <w:tc>
          <w:tcPr>
            <w:tcW w:type="dxa" w:w="748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AI Perception, navigation, StateTree/GameStateTree dependencies, source-backed tactical controller.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World</w:t>
            </w:r>
          </w:p>
        </w:tc>
        <w:tc>
          <w:tcPr>
            <w:tcW w:type="dxa" w:w="74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World Partition/open regional map, dynamic navigation, navigation invokers.</w:t>
            </w:r>
          </w:p>
        </w:tc>
      </w:tr>
      <w:tr>
        <w:tc>
          <w:tcPr>
            <w:tcW w:type="dxa" w:w="2232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UI</w:t>
            </w:r>
          </w:p>
        </w:tc>
        <w:tc>
          <w:tcPr>
            <w:tcW w:type="dxa" w:w="748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Native BH widget classes plus UMG Blueprint assets.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FX</w:t>
            </w:r>
          </w:p>
        </w:tc>
        <w:tc>
          <w:tcPr>
            <w:tcW w:type="dxa" w:w="74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Niagara-supported presentation; scalable effects.</w:t>
            </w:r>
          </w:p>
        </w:tc>
      </w:tr>
      <w:tr>
        <w:tc>
          <w:tcPr>
            <w:tcW w:type="dxa" w:w="2232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Save</w:t>
            </w:r>
          </w:p>
        </w:tc>
        <w:tc>
          <w:tcPr>
            <w:tcW w:type="dxa" w:w="748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BHSaveGame + BHSaveSubsystem and separate user settings persistence.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Editor</w:t>
            </w:r>
          </w:p>
        </w:tc>
        <w:tc>
          <w:tcPr>
            <w:tcW w:type="dxa" w:w="74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Dedicated editor module and idempotent Python automation/validators.</w:t>
            </w:r>
          </w:p>
        </w:tc>
      </w:tr>
    </w:tbl>
    <w:p>
      <w:pPr>
        <w:spacing w:after="0"/>
      </w:pPr>
    </w:p>
    <w:p>
      <w:pPr>
        <w:pStyle w:val="Heading2"/>
      </w:pPr>
      <w:r>
        <w:t>System Ownership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232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7488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Primary classes / data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Players</w:t>
            </w:r>
          </w:p>
        </w:tc>
        <w:tc>
          <w:tcPr>
            <w:tcW w:type="dxa" w:w="74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Replicated BHCharacter, BHWeaponComponent, BHRifle, BHHealthComponent, BHInjuryComponent</w:t>
            </w:r>
          </w:p>
        </w:tc>
      </w:tr>
      <w:tr>
        <w:tc>
          <w:tcPr>
            <w:tcW w:type="dxa" w:w="2232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AI</w:t>
            </w:r>
          </w:p>
        </w:tc>
        <w:tc>
          <w:tcPr>
            <w:tcW w:type="dxa" w:w="748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BHEnemySoldier, BHEnemyAIController, patrol and cover actors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Mission</w:t>
            </w:r>
          </w:p>
        </w:tc>
        <w:tc>
          <w:tcPr>
            <w:tcW w:type="dxa" w:w="74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BHMissionData, BHObjectiveComponent, operation/defense directors, extraction</w:t>
            </w:r>
          </w:p>
        </w:tc>
      </w:tr>
      <w:tr>
        <w:tc>
          <w:tcPr>
            <w:tcW w:type="dxa" w:w="2232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War</w:t>
            </w:r>
          </w:p>
        </w:tc>
        <w:tc>
          <w:tcPr>
            <w:tcW w:type="dxa" w:w="748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BHWarSubsystem, BHWarTypes, BHWarOperationRules, BHWarGameState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World logistics</w:t>
            </w:r>
          </w:p>
        </w:tc>
        <w:tc>
          <w:tcPr>
            <w:tcW w:type="dxa" w:w="74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BHSectorAnchor, BHWorldRoute, BHSupplyBase, BHSupplyConvoyTarget, BHFieldTransport</w:t>
            </w:r>
          </w:p>
        </w:tc>
      </w:tr>
      <w:tr>
        <w:tc>
          <w:tcPr>
            <w:tcW w:type="dxa" w:w="2232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Persistence</w:t>
            </w:r>
          </w:p>
        </w:tc>
        <w:tc>
          <w:tcPr>
            <w:tcW w:type="dxa" w:w="748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Authority-owned BHSaveGame/BHSaveSubsystem, persistent actor IDs, per-player state, and replicated operation snapshots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UI</w:t>
            </w:r>
          </w:p>
        </w:tc>
        <w:tc>
          <w:tcPr>
            <w:tcW w:type="dxa" w:w="74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BHWarMapWidget, objective, combat, ammo, interaction, menu, death, and mission-complete widgets</w:t>
            </w:r>
          </w:p>
        </w:tc>
      </w:tr>
    </w:tbl>
    <w:p>
      <w:pPr>
        <w:spacing w:after="0"/>
      </w:pPr>
    </w:p>
    <w:p>
      <w:pPr>
        <w:pStyle w:val="Heading2"/>
      </w:pPr>
      <w:r>
        <w:t>Content Authoring Contracts</w:t>
      </w:r>
    </w:p>
    <w:p>
      <w:pPr>
        <w:pStyle w:val="ListBullet"/>
      </w:pPr>
      <w:r>
        <w:t>Runtime code remains in Source/BrokenHorizon; editor-only automation remains in Source/BrokenHorizonEditor or Content/Python.</w:t>
      </w:r>
    </w:p>
    <w:p>
      <w:pPr>
        <w:pStyle w:val="ListBullet"/>
      </w:pPr>
      <w:r>
        <w:t>Never hand-edit binary .uasset or .umap files.</w:t>
      </w:r>
    </w:p>
    <w:p>
      <w:pPr>
        <w:pStyle w:val="ListBullet"/>
      </w:pPr>
      <w:r>
        <w:t>Reflected property names, asset paths, objective IDs, collision profiles, and persistence IDs require consumer search before change.</w:t>
      </w:r>
    </w:p>
    <w:p>
      <w:pPr>
        <w:pStyle w:val="ListBullet"/>
      </w:pPr>
      <w:r>
        <w:t>Persistent world actors receive unique stable IDs.</w:t>
      </w:r>
    </w:p>
    <w:p>
      <w:pPr>
        <w:pStyle w:val="ListBullet"/>
      </w:pPr>
      <w:r>
        <w:t>Editor automation is idempotent, tagged, narrowly scoped, and refuses destructive overwrite by default.</w:t>
      </w:r>
    </w:p>
    <w:p>
      <w:pPr>
        <w:pStyle w:val="ListBullet"/>
      </w:pPr>
      <w:r>
        <w:t>Generated First Light content uses the BH_Auto_FirstLight tag.</w:t>
      </w:r>
    </w:p>
    <w:p>
      <w:pPr>
        <w:pStyle w:val="Heading2"/>
      </w:pPr>
      <w:r>
        <w:t>Telemetry / Playtest Instrumentation</w:t>
      </w:r>
    </w:p>
    <w:p>
      <w:r>
        <w:t>For internal builds, log anonymized local playtest events to a developer-readable file. Online collection requires explicit product approval and consent.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76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7344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Fields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Operation lifecycle</w:t>
            </w:r>
          </w:p>
        </w:tc>
        <w:tc>
          <w:tcPr>
            <w:tcW w:type="dxa" w:w="73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Type, sector, phase times, result, retries, route</w:t>
            </w:r>
          </w:p>
        </w:tc>
      </w:tr>
      <w:tr>
        <w:tc>
          <w:tcPr>
            <w:tcW w:type="dxa" w:w="2376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Combat</w:t>
            </w:r>
          </w:p>
        </w:tc>
        <w:tc>
          <w:tcPr>
            <w:tcW w:type="dxa" w:w="7344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Contact count, engagement range, shots, hits by zone, suppression, damage source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Medical</w:t>
            </w:r>
          </w:p>
        </w:tc>
        <w:tc>
          <w:tcPr>
            <w:tcW w:type="dxa" w:w="73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Bleed onset, treatment delay, resources spent, death cause</w:t>
            </w:r>
          </w:p>
        </w:tc>
      </w:tr>
      <w:tr>
        <w:tc>
          <w:tcPr>
            <w:tcW w:type="dxa" w:w="2376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AI</w:t>
            </w:r>
          </w:p>
        </w:tc>
        <w:tc>
          <w:tcPr>
            <w:tcW w:type="dxa" w:w="7344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State time, perception source, cover failures, navigation failures, rout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War</w:t>
            </w:r>
          </w:p>
        </w:tc>
        <w:tc>
          <w:tcPr>
            <w:tcW w:type="dxa" w:w="73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Priority chosen/ignored, sector changes, supply path changes</w:t>
            </w:r>
          </w:p>
        </w:tc>
      </w:tr>
      <w:tr>
        <w:tc>
          <w:tcPr>
            <w:tcW w:type="dxa" w:w="2376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UX</w:t>
            </w:r>
          </w:p>
        </w:tc>
        <w:tc>
          <w:tcPr>
            <w:tcW w:type="dxa" w:w="7344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Objective dwell, map dwell, settings changed, prompt dismissal</w:t>
            </w:r>
          </w:p>
        </w:tc>
      </w:tr>
    </w:tbl>
    <w:p>
      <w:pPr>
        <w:spacing w:after="0"/>
      </w:pPr>
    </w:p>
    <w:p>
      <w:pPr>
        <w:pStyle w:val="Heading2"/>
      </w:pPr>
      <w:r>
        <w:t>Validation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232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Change area</w:t>
            </w:r>
          </w:p>
        </w:tc>
        <w:tc>
          <w:tcPr>
            <w:tcW w:type="dxa" w:w="3744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Automated evidence</w:t>
            </w:r>
          </w:p>
        </w:tc>
        <w:tc>
          <w:tcPr>
            <w:tcW w:type="dxa" w:w="3744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Manual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Gameplay C++</w:t>
            </w:r>
          </w:p>
        </w:tc>
        <w:tc>
          <w:tcPr>
            <w:tcW w:type="dxa" w:w="37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Editor build, automation tests, targeted runtime smoke</w:t>
            </w:r>
          </w:p>
        </w:tc>
        <w:tc>
          <w:tcPr>
            <w:tcW w:type="dxa" w:w="37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Hands-on feel and regression play</w:t>
            </w:r>
          </w:p>
        </w:tc>
      </w:tr>
      <w:tr>
        <w:tc>
          <w:tcPr>
            <w:tcW w:type="dxa" w:w="2232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Mission/AI/combat/save</w:t>
            </w:r>
          </w:p>
        </w:tc>
        <w:tc>
          <w:tcPr>
            <w:tcW w:type="dxa" w:w="3744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Build + tests + smoke + First Light launch/log review</w:t>
            </w:r>
          </w:p>
        </w:tc>
        <w:tc>
          <w:tcPr>
            <w:tcW w:type="dxa" w:w="3744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Navigation, Blueprint wiring, encounter quality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UI/visual/audio</w:t>
            </w:r>
          </w:p>
        </w:tc>
        <w:tc>
          <w:tcPr>
            <w:tcW w:type="dxa" w:w="37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Load and asset validation</w:t>
            </w:r>
          </w:p>
        </w:tc>
        <w:tc>
          <w:tcPr>
            <w:tcW w:type="dxa" w:w="37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Resolution sweep, input sweep, visibility, mix</w:t>
            </w:r>
          </w:p>
        </w:tc>
      </w:tr>
      <w:tr>
        <w:tc>
          <w:tcPr>
            <w:tcW w:type="dxa" w:w="2232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Startup/cook/package</w:t>
            </w:r>
          </w:p>
        </w:tc>
        <w:tc>
          <w:tcPr>
            <w:tcW w:type="dxa" w:w="3744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Packaged build launch and log review</w:t>
            </w:r>
          </w:p>
        </w:tc>
        <w:tc>
          <w:tcPr>
            <w:tcW w:type="dxa" w:w="3744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Fresh-machine install and full flow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Persistence</w:t>
            </w:r>
          </w:p>
        </w:tc>
        <w:tc>
          <w:tcPr>
            <w:tcW w:type="dxa" w:w="37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Save/load automation across state permutations</w:t>
            </w:r>
          </w:p>
        </w:tc>
        <w:tc>
          <w:tcPr>
            <w:tcW w:type="dxa" w:w="37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Long-session campaign and migration soak</w:t>
            </w:r>
          </w:p>
        </w:tc>
      </w:tr>
      <w:tr>
        <w:tc>
          <w:tcPr>
            <w:tcW w:type="dxa" w:w="2232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Networking</w:t>
            </w:r>
          </w:p>
        </w:tc>
        <w:tc>
          <w:tcPr>
            <w:tcW w:type="dxa" w:w="3744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Dedicated/listen server launch, multi-client functional tests, replication assertions</w:t>
            </w:r>
          </w:p>
        </w:tc>
        <w:tc>
          <w:tcPr>
            <w:tcW w:type="dxa" w:w="3744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Latency/loss simulation, join-in-progress, reconnect, host travel, field respawn</w:t>
            </w:r>
          </w:p>
        </w:tc>
      </w:tr>
    </w:tbl>
    <w:p>
      <w:pPr>
        <w:spacing w:after="0"/>
      </w:pPr>
    </w:p>
    <w:p>
      <w:pPr>
        <w:pStyle w:val="Heading1"/>
      </w:pPr>
      <w:r>
        <w:t>Module Exit Checklist</w:t>
      </w:r>
    </w:p>
    <w:p>
      <w:pPr>
        <w:pStyle w:val="ListBullet"/>
      </w:pPr>
      <w:r>
        <w:t>The module can be read without another file to understand its owned decisions.</w:t>
      </w:r>
    </w:p>
    <w:p>
      <w:pPr>
        <w:pStyle w:val="ListBullet"/>
      </w:pPr>
      <w:r>
        <w:t>Every external dependency is named in the header and not silently duplicated.</w:t>
      </w:r>
    </w:p>
    <w:p>
      <w:pPr>
        <w:pStyle w:val="ListBullet"/>
      </w:pPr>
      <w:r>
        <w:t>Every published interface uses stable terminology consistent with the master index.</w:t>
      </w:r>
    </w:p>
    <w:p>
      <w:pPr>
        <w:pStyle w:val="ListBullet"/>
      </w:pPr>
      <w:r>
        <w:t>Multiplayer authority, replication, reconnect, and persistence implications are addressed where relevant.</w:t>
      </w:r>
    </w:p>
    <w:p>
      <w:pPr>
        <w:pStyle w:val="ListBullet"/>
      </w:pPr>
      <w:r>
        <w:t>Acceptance criteria are testable and assignable to a discipline.</w:t>
      </w:r>
    </w:p>
    <w:p>
      <w:pPr>
        <w:pStyle w:val="ListBullet"/>
      </w:pPr>
      <w:r>
        <w:t>Changes to objective IDs, persistence IDs, reflected names, paths, or save fields include a consumer audit.</w:t>
      </w:r>
    </w:p>
    <w:p>
      <w:pPr>
        <w:spacing w:before="200"/>
      </w:pPr>
      <w:r>
        <w:rPr>
          <w:b/>
          <w:color w:val="35566E"/>
        </w:rPr>
        <w:t>End of GDD-11  /  Technical Architecture, Content Pipeline, Analytics, and QA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6C76"/>
        <w:sz w:val="16"/>
      </w:rPr>
      <w:t xml:space="preserve">VERSION 1.1  |  29 JULY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rFonts w:ascii="Aptos" w:hAnsi="Aptos"/>
        <w:b/>
        <w:color w:val="5E6C76"/>
        <w:sz w:val="16"/>
      </w:rPr>
      <w:t>BROKEN HORIZON  /  MODULAR GDD  /  GDD-11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720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73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55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96D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2735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 Display" w:hAnsi="Aptos Display"/>
      <w:b w:val="0"/>
      <w:i/>
      <w:iCs/>
      <w:color w:val="5E6C7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59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59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Broken Horizon GDD-11 - Technical Architecture, Content Pipeline, Analytics, and QA</dc:title>
  <dc:subject>Separable modular game design document</dc:subject>
  <dc:creator>Broken Horizon Development Team</dc:creator>
  <cp:keywords>Broken Horizon, GDD, tactical FPS, persistent war, Unreal Engine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