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96D2D"/>
          <w:sz w:val="22"/>
        </w:rPr>
        <w:t>GDD-12</w:t>
      </w:r>
    </w:p>
    <w:p>
      <w:pPr>
        <w:pStyle w:val="Title"/>
      </w:pPr>
      <w:r>
        <w:t>Production Scope, Roadmap, Risks, and Acceptance</w:t>
      </w:r>
    </w:p>
    <w:p>
      <w:pPr>
        <w:pStyle w:val="Subtitle"/>
      </w:pPr>
      <w:r>
        <w:t>Standalone production module for the cooperative multiplayer game design</w:t>
      </w:r>
    </w:p>
    <w:tbl>
      <w:tblPr>
        <w:tblStyle w:val="TableGrid"/>
        <w:tblW w:type="auto" w:w="0"/>
        <w:jc w:val="center"/>
        <w:tblLook w:firstColumn="1" w:firstRow="1" w:lastColumn="0" w:lastRow="0" w:noHBand="0" w:noVBand="1" w:val="04A0"/>
      </w:tblPr>
      <w:tblGrid>
        <w:gridCol w:w="4968"/>
        <w:gridCol w:w="4968"/>
      </w:tblGrid>
      <w:tr>
        <w:tc>
          <w:tcPr>
            <w:tcW w:type="dxa" w:w="4968"/>
            <w:shd w:fill="E8EEF2"/>
          </w:tcPr>
          <w:p>
            <w:pPr>
              <w:spacing w:after="0"/>
            </w:pPr>
            <w:r>
              <w:rPr>
                <w:b/>
                <w:color w:val="162735"/>
              </w:rPr>
              <w:t>Module owner</w:t>
            </w:r>
          </w:p>
        </w:tc>
        <w:tc>
          <w:tcPr>
            <w:tcW w:type="dxa" w:w="4968"/>
          </w:tcPr>
          <w:p>
            <w:pPr>
              <w:spacing w:after="0"/>
            </w:pPr>
            <w:r>
              <w:t>Producer / Discipline Leads</w:t>
            </w:r>
          </w:p>
        </w:tc>
      </w:tr>
      <w:tr>
        <w:tc>
          <w:tcPr>
            <w:tcW w:type="dxa" w:w="4968"/>
            <w:shd w:fill="E8EEF2"/>
          </w:tcPr>
          <w:p>
            <w:pPr>
              <w:spacing w:after="0"/>
            </w:pPr>
            <w:r>
              <w:rPr>
                <w:b/>
                <w:color w:val="162735"/>
              </w:rPr>
              <w:t>Depends on</w:t>
            </w:r>
          </w:p>
        </w:tc>
        <w:tc>
          <w:tcPr>
            <w:tcW w:type="dxa" w:w="4968"/>
          </w:tcPr>
          <w:p>
            <w:pPr>
              <w:spacing w:after="0"/>
            </w:pPr>
            <w:r>
              <w:t>GDD-00 through GDD-11</w:t>
            </w:r>
          </w:p>
        </w:tc>
      </w:tr>
      <w:tr>
        <w:tc>
          <w:tcPr>
            <w:tcW w:type="dxa" w:w="4968"/>
            <w:shd w:fill="E8EEF2"/>
          </w:tcPr>
          <w:p>
            <w:pPr>
              <w:spacing w:after="0"/>
            </w:pPr>
            <w:r>
              <w:rPr>
                <w:b/>
                <w:color w:val="162735"/>
              </w:rPr>
              <w:t>Publishes</w:t>
            </w:r>
          </w:p>
        </w:tc>
        <w:tc>
          <w:tcPr>
            <w:tcW w:type="dxa" w:w="4968"/>
          </w:tcPr>
          <w:p>
            <w:pPr>
              <w:spacing w:after="0"/>
            </w:pPr>
            <w:r>
              <w:t>Scope tiers, gates, risks, definition of done, open decisions</w:t>
            </w:r>
          </w:p>
        </w:tc>
      </w:tr>
      <w:tr>
        <w:tc>
          <w:tcPr>
            <w:tcW w:type="dxa" w:w="4968"/>
            <w:shd w:fill="E8EEF2"/>
          </w:tcPr>
          <w:p>
            <w:pPr>
              <w:spacing w:after="0"/>
            </w:pPr>
            <w:r>
              <w:rPr>
                <w:b/>
                <w:color w:val="162735"/>
              </w:rPr>
              <w:t>Change rule</w:t>
            </w:r>
          </w:p>
        </w:tc>
        <w:tc>
          <w:tcPr>
            <w:tcW w:type="dxa" w:w="4968"/>
          </w:tcPr>
          <w:p>
            <w:pPr>
              <w:spacing w:after="0"/>
            </w:pPr>
            <w:r>
              <w:t>Update this module first, then review every listed consumer in the master index.</w:t>
            </w:r>
          </w:p>
        </w:tc>
      </w:tr>
    </w:tbl>
    <w:p/>
    <w:p>
      <w:pPr>
        <w:pStyle w:val="Heading1"/>
        <w:keepNext/>
      </w:pPr>
      <w:r>
        <w:t>Module Boundary Contract</w:t>
      </w:r>
    </w:p>
    <w:p>
      <w:pPr>
        <w:pStyle w:val="ListBullet"/>
      </w:pPr>
      <w:r>
        <w:t>This file may be assigned, reviewed, versioned, or replaced independently.</w:t>
      </w:r>
    </w:p>
    <w:p>
      <w:pPr>
        <w:pStyle w:val="ListBullet"/>
      </w:pPr>
      <w:r>
        <w:t>Terms and IDs published by this module are interfaces; downstream modules consume them without redefining them.</w:t>
      </w:r>
    </w:p>
    <w:p>
      <w:pPr>
        <w:pStyle w:val="ListBullet"/>
      </w:pPr>
      <w:r>
        <w:t>Cross-module changes require an impact review against the master dependency register.</w:t>
      </w:r>
    </w:p>
    <w:p>
      <w:pPr>
        <w:pStyle w:val="ListBullet"/>
      </w:pPr>
      <w:r>
        <w:t>Implementation values remain tunable unless explicitly identified as a persistence, objective, asset-path, or network contract.</w:t>
      </w:r>
    </w:p>
    <w:p>
      <w:pPr>
        <w:pStyle w:val="Heading1"/>
      </w:pPr>
      <w:r>
        <w:t>Design Specification</w:t>
      </w:r>
    </w:p>
    <w:p>
      <w:pPr>
        <w:pStyle w:val="Heading2"/>
      </w:pPr>
      <w:r>
        <w:t>Recommended Product Scope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2735"/>
            <w:vAlign w:val="center"/>
            <w:tcMar>
              <w:top w:w="90" w:type="dxa"/>
              <w:start w:w="110" w:type="dxa"/>
              <w:bottom w:w="90" w:type="dxa"/>
              <w:end w:w="110" w:type="dxa"/>
            </w:tcMar>
          </w:tcPr>
          <w:p>
            <w:r>
              <w:rPr>
                <w:b/>
                <w:color w:val="FFFFFF"/>
                <w:sz w:val="18"/>
              </w:rPr>
              <w:t>Tier</w:t>
            </w:r>
          </w:p>
        </w:tc>
        <w:tc>
          <w:tcPr>
            <w:tcW w:type="dxa" w:w="7344"/>
            <w:shd w:fill="162735"/>
            <w:vAlign w:val="center"/>
            <w:tcMar>
              <w:top w:w="90" w:type="dxa"/>
              <w:start w:w="110" w:type="dxa"/>
              <w:bottom w:w="90" w:type="dxa"/>
              <w:end w:w="110" w:type="dxa"/>
            </w:tcMar>
          </w:tcPr>
          <w:p>
            <w:r>
              <w:rPr>
                <w:b/>
                <w:color w:val="FFFFFF"/>
                <w:sz w:val="18"/>
              </w:rPr>
              <w:t>Included</w:t>
            </w:r>
          </w:p>
        </w:tc>
      </w:tr>
      <w:tr>
        <w:tc>
          <w:tcPr>
            <w:tcW w:type="dxa" w:w="2376"/>
            <w:vAlign w:val="top"/>
            <w:tcMar>
              <w:top w:w="90" w:type="dxa"/>
              <w:start w:w="110" w:type="dxa"/>
              <w:bottom w:w="90" w:type="dxa"/>
              <w:end w:w="110" w:type="dxa"/>
            </w:tcMar>
          </w:tcPr>
          <w:p>
            <w:pPr>
              <w:spacing w:after="0"/>
            </w:pPr>
            <w:r>
              <w:rPr>
                <w:sz w:val="18"/>
              </w:rPr>
              <w:t>Vertical slice</w:t>
            </w:r>
          </w:p>
        </w:tc>
        <w:tc>
          <w:tcPr>
            <w:tcW w:type="dxa" w:w="7344"/>
            <w:vAlign w:val="top"/>
            <w:tcMar>
              <w:top w:w="90" w:type="dxa"/>
              <w:start w:w="110" w:type="dxa"/>
              <w:bottom w:w="90" w:type="dxa"/>
              <w:end w:w="110" w:type="dxa"/>
            </w:tcMar>
          </w:tcPr>
          <w:p>
            <w:pPr>
              <w:spacing w:after="0"/>
            </w:pPr>
            <w:r>
              <w:rPr>
                <w:sz w:val="18"/>
              </w:rPr>
              <w:t>Networked Operation First Light, synchronized combat/medical/objective loop, join-in-progress, field respawn, authority-owned persistence, polished presentation.</w:t>
            </w:r>
          </w:p>
        </w:tc>
      </w:tr>
      <w:tr>
        <w:tc>
          <w:tcPr>
            <w:tcW w:type="dxa" w:w="2376"/>
            <w:shd w:fill="F4F6F7"/>
            <w:vAlign w:val="top"/>
            <w:tcMar>
              <w:top w:w="90" w:type="dxa"/>
              <w:start w:w="110" w:type="dxa"/>
              <w:bottom w:w="90" w:type="dxa"/>
              <w:end w:w="110" w:type="dxa"/>
            </w:tcMar>
          </w:tcPr>
          <w:p>
            <w:pPr>
              <w:spacing w:after="0"/>
            </w:pPr>
            <w:r>
              <w:rPr>
                <w:sz w:val="18"/>
              </w:rPr>
              <w:t>Minimum viable campaign</w:t>
            </w:r>
          </w:p>
        </w:tc>
        <w:tc>
          <w:tcPr>
            <w:tcW w:type="dxa" w:w="7344"/>
            <w:shd w:fill="F4F6F7"/>
            <w:vAlign w:val="top"/>
            <w:tcMar>
              <w:top w:w="90" w:type="dxa"/>
              <w:start w:w="110" w:type="dxa"/>
              <w:bottom w:w="90" w:type="dxa"/>
              <w:end w:w="110" w:type="dxa"/>
            </w:tcMar>
          </w:tcPr>
          <w:p>
            <w:pPr>
              <w:spacing w:after="0"/>
            </w:pPr>
            <w:r>
              <w:rPr>
                <w:sz w:val="18"/>
              </w:rPr>
              <w:t>Shared connected region, 6-8 sectors, 3 core operation types, human squad plus AI support, transport/logistics, strategic map, 4-6 hour arc.</w:t>
            </w:r>
          </w:p>
        </w:tc>
      </w:tr>
      <w:tr>
        <w:tc>
          <w:tcPr>
            <w:tcW w:type="dxa" w:w="2376"/>
            <w:vAlign w:val="top"/>
            <w:tcMar>
              <w:top w:w="90" w:type="dxa"/>
              <w:start w:w="110" w:type="dxa"/>
              <w:bottom w:w="90" w:type="dxa"/>
              <w:end w:w="110" w:type="dxa"/>
            </w:tcMar>
          </w:tcPr>
          <w:p>
            <w:pPr>
              <w:spacing w:after="0"/>
            </w:pPr>
            <w:r>
              <w:rPr>
                <w:sz w:val="18"/>
              </w:rPr>
              <w:t>1.0 target</w:t>
            </w:r>
          </w:p>
        </w:tc>
        <w:tc>
          <w:tcPr>
            <w:tcW w:type="dxa" w:w="7344"/>
            <w:vAlign w:val="top"/>
            <w:tcMar>
              <w:top w:w="90" w:type="dxa"/>
              <w:start w:w="110" w:type="dxa"/>
              <w:bottom w:w="90" w:type="dxa"/>
              <w:end w:w="110" w:type="dxa"/>
            </w:tcMar>
          </w:tcPr>
          <w:p>
            <w:pPr>
              <w:spacing w:after="0"/>
            </w:pPr>
            <w:r>
              <w:rPr>
                <w:sz w:val="18"/>
              </w:rPr>
              <w:t>Stable cooperative campaign across listen/dedicated server paths, 10-14 sectors, 5-6 operation types, expanded equipment and AI roles, 10-15 hour arc.</w:t>
            </w:r>
          </w:p>
        </w:tc>
      </w:tr>
      <w:tr>
        <w:tc>
          <w:tcPr>
            <w:tcW w:type="dxa" w:w="2376"/>
            <w:shd w:fill="F4F6F7"/>
            <w:vAlign w:val="top"/>
            <w:tcMar>
              <w:top w:w="90" w:type="dxa"/>
              <w:start w:w="110" w:type="dxa"/>
              <w:bottom w:w="90" w:type="dxa"/>
              <w:end w:w="110" w:type="dxa"/>
            </w:tcMar>
          </w:tcPr>
          <w:p>
            <w:pPr>
              <w:spacing w:after="0"/>
            </w:pPr>
            <w:r>
              <w:rPr>
                <w:sz w:val="18"/>
              </w:rPr>
              <w:t>Post-1.0 option</w:t>
            </w:r>
          </w:p>
        </w:tc>
        <w:tc>
          <w:tcPr>
            <w:tcW w:type="dxa" w:w="7344"/>
            <w:shd w:fill="F4F6F7"/>
            <w:vAlign w:val="top"/>
            <w:tcMar>
              <w:top w:w="90" w:type="dxa"/>
              <w:start w:w="110" w:type="dxa"/>
              <w:bottom w:w="90" w:type="dxa"/>
              <w:end w:w="110" w:type="dxa"/>
            </w:tcMar>
          </w:tcPr>
          <w:p>
            <w:pPr>
              <w:spacing w:after="0"/>
            </w:pPr>
            <w:r>
              <w:rPr>
                <w:sz w:val="18"/>
              </w:rPr>
              <w:t>Expanded squad scale, server administration, additional campaign roles, and platform cross-play after the core network experience is proven.</w:t>
            </w:r>
          </w:p>
        </w:tc>
      </w:tr>
    </w:tbl>
    <w:p>
      <w:pPr>
        <w:spacing w:after="0"/>
      </w:pPr>
    </w:p>
    <w:p>
      <w:pPr>
        <w:pStyle w:val="Heading2"/>
      </w:pPr>
      <w:r>
        <w:t>Roadmap Gates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2735"/>
            <w:vAlign w:val="center"/>
            <w:tcMar>
              <w:top w:w="90" w:type="dxa"/>
              <w:start w:w="110" w:type="dxa"/>
              <w:bottom w:w="90" w:type="dxa"/>
              <w:end w:w="110" w:type="dxa"/>
            </w:tcMar>
          </w:tcPr>
          <w:p>
            <w:r>
              <w:rPr>
                <w:b/>
                <w:color w:val="FFFFFF"/>
                <w:sz w:val="18"/>
              </w:rPr>
              <w:t>Gate</w:t>
            </w:r>
          </w:p>
        </w:tc>
        <w:tc>
          <w:tcPr>
            <w:tcW w:type="dxa" w:w="7344"/>
            <w:shd w:fill="162735"/>
            <w:vAlign w:val="center"/>
            <w:tcMar>
              <w:top w:w="90" w:type="dxa"/>
              <w:start w:w="110" w:type="dxa"/>
              <w:bottom w:w="90" w:type="dxa"/>
              <w:end w:w="110" w:type="dxa"/>
            </w:tcMar>
          </w:tcPr>
          <w:p>
            <w:r>
              <w:rPr>
                <w:b/>
                <w:color w:val="FFFFFF"/>
                <w:sz w:val="18"/>
              </w:rPr>
              <w:t>Exit criteria</w:t>
            </w:r>
          </w:p>
        </w:tc>
      </w:tr>
      <w:tr>
        <w:tc>
          <w:tcPr>
            <w:tcW w:type="dxa" w:w="2376"/>
            <w:vAlign w:val="top"/>
            <w:tcMar>
              <w:top w:w="90" w:type="dxa"/>
              <w:start w:w="110" w:type="dxa"/>
              <w:bottom w:w="90" w:type="dxa"/>
              <w:end w:w="110" w:type="dxa"/>
            </w:tcMar>
          </w:tcPr>
          <w:p>
            <w:pPr>
              <w:spacing w:after="0"/>
            </w:pPr>
            <w:r>
              <w:rPr>
                <w:sz w:val="18"/>
              </w:rPr>
              <w:t>G0 - Foundations</w:t>
            </w:r>
          </w:p>
        </w:tc>
        <w:tc>
          <w:tcPr>
            <w:tcW w:type="dxa" w:w="7344"/>
            <w:vAlign w:val="top"/>
            <w:tcMar>
              <w:top w:w="90" w:type="dxa"/>
              <w:start w:w="110" w:type="dxa"/>
              <w:bottom w:w="90" w:type="dxa"/>
              <w:end w:w="110" w:type="dxa"/>
            </w:tcMar>
          </w:tcPr>
          <w:p>
            <w:pPr>
              <w:spacing w:after="0"/>
            </w:pPr>
            <w:r>
              <w:rPr>
                <w:sz w:val="18"/>
              </w:rPr>
              <w:t>Build/test loop reliable; authority and persistence contracts documented; replicated player, weapon, injury, AI, vehicle, and war state functional.</w:t>
            </w:r>
          </w:p>
        </w:tc>
      </w:tr>
      <w:tr>
        <w:tc>
          <w:tcPr>
            <w:tcW w:type="dxa" w:w="2376"/>
            <w:shd w:fill="F4F6F7"/>
            <w:vAlign w:val="top"/>
            <w:tcMar>
              <w:top w:w="90" w:type="dxa"/>
              <w:start w:w="110" w:type="dxa"/>
              <w:bottom w:w="90" w:type="dxa"/>
              <w:end w:w="110" w:type="dxa"/>
            </w:tcMar>
          </w:tcPr>
          <w:p>
            <w:pPr>
              <w:spacing w:after="0"/>
            </w:pPr>
            <w:r>
              <w:rPr>
                <w:sz w:val="18"/>
              </w:rPr>
              <w:t>G1 - First Light alpha</w:t>
            </w:r>
          </w:p>
        </w:tc>
        <w:tc>
          <w:tcPr>
            <w:tcW w:type="dxa" w:w="7344"/>
            <w:shd w:fill="F4F6F7"/>
            <w:vAlign w:val="top"/>
            <w:tcMar>
              <w:top w:w="90" w:type="dxa"/>
              <w:start w:w="110" w:type="dxa"/>
              <w:bottom w:w="90" w:type="dxa"/>
              <w:end w:w="110" w:type="dxa"/>
            </w:tcMar>
          </w:tcPr>
          <w:p>
            <w:pPr>
              <w:spacing w:after="0"/>
            </w:pPr>
            <w:r>
              <w:rPr>
                <w:sz w:val="18"/>
              </w:rPr>
              <w:t>Two or more clients complete the mission end-to-end with synchronized objectives, combat, field respawn, and save state.</w:t>
            </w:r>
          </w:p>
        </w:tc>
      </w:tr>
      <w:tr>
        <w:tc>
          <w:tcPr>
            <w:tcW w:type="dxa" w:w="2376"/>
            <w:vAlign w:val="top"/>
            <w:tcMar>
              <w:top w:w="90" w:type="dxa"/>
              <w:start w:w="110" w:type="dxa"/>
              <w:bottom w:w="90" w:type="dxa"/>
              <w:end w:w="110" w:type="dxa"/>
            </w:tcMar>
          </w:tcPr>
          <w:p>
            <w:pPr>
              <w:spacing w:after="0"/>
            </w:pPr>
            <w:r>
              <w:rPr>
                <w:sz w:val="18"/>
              </w:rPr>
              <w:t>G2 - First Light vertical slice</w:t>
            </w:r>
          </w:p>
        </w:tc>
        <w:tc>
          <w:tcPr>
            <w:tcW w:type="dxa" w:w="7344"/>
            <w:vAlign w:val="top"/>
            <w:tcMar>
              <w:top w:w="90" w:type="dxa"/>
              <w:start w:w="110" w:type="dxa"/>
              <w:bottom w:w="90" w:type="dxa"/>
              <w:end w:w="110" w:type="dxa"/>
            </w:tcMar>
          </w:tcPr>
          <w:p>
            <w:pPr>
              <w:spacing w:after="0"/>
            </w:pPr>
            <w:r>
              <w:rPr>
                <w:sz w:val="18"/>
              </w:rPr>
              <w:t>Join/reconnect, listen/dedicated paths, target art/audio, tuned combat, accessibility, network/performance, and packaging pass.</w:t>
            </w:r>
          </w:p>
        </w:tc>
      </w:tr>
      <w:tr>
        <w:tc>
          <w:tcPr>
            <w:tcW w:type="dxa" w:w="2376"/>
            <w:shd w:fill="F4F6F7"/>
            <w:vAlign w:val="top"/>
            <w:tcMar>
              <w:top w:w="90" w:type="dxa"/>
              <w:start w:w="110" w:type="dxa"/>
              <w:bottom w:w="90" w:type="dxa"/>
              <w:end w:w="110" w:type="dxa"/>
            </w:tcMar>
          </w:tcPr>
          <w:p>
            <w:pPr>
              <w:spacing w:after="0"/>
            </w:pPr>
            <w:r>
              <w:rPr>
                <w:sz w:val="18"/>
              </w:rPr>
              <w:t>G3 - Campaign prototype</w:t>
            </w:r>
          </w:p>
        </w:tc>
        <w:tc>
          <w:tcPr>
            <w:tcW w:type="dxa" w:w="7344"/>
            <w:shd w:fill="F4F6F7"/>
            <w:vAlign w:val="top"/>
            <w:tcMar>
              <w:top w:w="90" w:type="dxa"/>
              <w:start w:w="110" w:type="dxa"/>
              <w:bottom w:w="90" w:type="dxa"/>
              <w:end w:w="110" w:type="dxa"/>
            </w:tcMar>
          </w:tcPr>
          <w:p>
            <w:pPr>
              <w:spacing w:after="0"/>
            </w:pPr>
            <w:r>
              <w:rPr>
                <w:sz w:val="18"/>
              </w:rPr>
              <w:t>Connected clients share three sectors, attack/defense/raid, supply route, transport, server travel, and persistent consequences.</w:t>
            </w:r>
          </w:p>
        </w:tc>
      </w:tr>
      <w:tr>
        <w:tc>
          <w:tcPr>
            <w:tcW w:type="dxa" w:w="2376"/>
            <w:vAlign w:val="top"/>
            <w:tcMar>
              <w:top w:w="90" w:type="dxa"/>
              <w:start w:w="110" w:type="dxa"/>
              <w:bottom w:w="90" w:type="dxa"/>
              <w:end w:w="110" w:type="dxa"/>
            </w:tcMar>
          </w:tcPr>
          <w:p>
            <w:pPr>
              <w:spacing w:after="0"/>
            </w:pPr>
            <w:r>
              <w:rPr>
                <w:sz w:val="18"/>
              </w:rPr>
              <w:t>G4 - Content production</w:t>
            </w:r>
          </w:p>
        </w:tc>
        <w:tc>
          <w:tcPr>
            <w:tcW w:type="dxa" w:w="7344"/>
            <w:vAlign w:val="top"/>
            <w:tcMar>
              <w:top w:w="90" w:type="dxa"/>
              <w:start w:w="110" w:type="dxa"/>
              <w:bottom w:w="90" w:type="dxa"/>
              <w:end w:w="110" w:type="dxa"/>
            </w:tcMar>
          </w:tcPr>
          <w:p>
            <w:pPr>
              <w:spacing w:after="0"/>
            </w:pPr>
            <w:r>
              <w:rPr>
                <w:sz w:val="18"/>
              </w:rPr>
              <w:t>Authoring templates, validators, encounter budget, save migration, performance budgets locked.</w:t>
            </w:r>
          </w:p>
        </w:tc>
      </w:tr>
      <w:tr>
        <w:tc>
          <w:tcPr>
            <w:tcW w:type="dxa" w:w="2376"/>
            <w:shd w:fill="F4F6F7"/>
            <w:vAlign w:val="top"/>
            <w:tcMar>
              <w:top w:w="90" w:type="dxa"/>
              <w:start w:w="110" w:type="dxa"/>
              <w:bottom w:w="90" w:type="dxa"/>
              <w:end w:w="110" w:type="dxa"/>
            </w:tcMar>
          </w:tcPr>
          <w:p>
            <w:pPr>
              <w:spacing w:after="0"/>
            </w:pPr>
            <w:r>
              <w:rPr>
                <w:sz w:val="18"/>
              </w:rPr>
              <w:t>G5 - Alpha</w:t>
            </w:r>
          </w:p>
        </w:tc>
        <w:tc>
          <w:tcPr>
            <w:tcW w:type="dxa" w:w="7344"/>
            <w:shd w:fill="F4F6F7"/>
            <w:vAlign w:val="top"/>
            <w:tcMar>
              <w:top w:w="90" w:type="dxa"/>
              <w:start w:w="110" w:type="dxa"/>
              <w:bottom w:w="90" w:type="dxa"/>
              <w:end w:w="110" w:type="dxa"/>
            </w:tcMar>
          </w:tcPr>
          <w:p>
            <w:pPr>
              <w:spacing w:after="0"/>
            </w:pPr>
            <w:r>
              <w:rPr>
                <w:sz w:val="18"/>
              </w:rPr>
              <w:t>All systems/content playable in supported multiplayer topology; no blocking desync or save loss; complete campaign flow.</w:t>
            </w:r>
          </w:p>
        </w:tc>
      </w:tr>
      <w:tr>
        <w:tc>
          <w:tcPr>
            <w:tcW w:type="dxa" w:w="2376"/>
            <w:vAlign w:val="top"/>
            <w:tcMar>
              <w:top w:w="90" w:type="dxa"/>
              <w:start w:w="110" w:type="dxa"/>
              <w:bottom w:w="90" w:type="dxa"/>
              <w:end w:w="110" w:type="dxa"/>
            </w:tcMar>
          </w:tcPr>
          <w:p>
            <w:pPr>
              <w:spacing w:after="0"/>
            </w:pPr>
            <w:r>
              <w:rPr>
                <w:sz w:val="18"/>
              </w:rPr>
              <w:t>G6 - Beta</w:t>
            </w:r>
          </w:p>
        </w:tc>
        <w:tc>
          <w:tcPr>
            <w:tcW w:type="dxa" w:w="7344"/>
            <w:vAlign w:val="top"/>
            <w:tcMar>
              <w:top w:w="90" w:type="dxa"/>
              <w:start w:w="110" w:type="dxa"/>
              <w:bottom w:w="90" w:type="dxa"/>
              <w:end w:w="110" w:type="dxa"/>
            </w:tcMar>
          </w:tcPr>
          <w:p>
            <w:pPr>
              <w:spacing w:after="0"/>
            </w:pPr>
            <w:r>
              <w:rPr>
                <w:sz w:val="18"/>
              </w:rPr>
              <w:t>Content locked; balance, accessibility, performance, compatibility, localization, and packaging focus.</w:t>
            </w:r>
          </w:p>
        </w:tc>
      </w:tr>
      <w:tr>
        <w:tc>
          <w:tcPr>
            <w:tcW w:type="dxa" w:w="2376"/>
            <w:shd w:fill="F4F6F7"/>
            <w:vAlign w:val="top"/>
            <w:tcMar>
              <w:top w:w="90" w:type="dxa"/>
              <w:start w:w="110" w:type="dxa"/>
              <w:bottom w:w="90" w:type="dxa"/>
              <w:end w:w="110" w:type="dxa"/>
            </w:tcMar>
          </w:tcPr>
          <w:p>
            <w:pPr>
              <w:spacing w:after="0"/>
            </w:pPr>
            <w:r>
              <w:rPr>
                <w:sz w:val="18"/>
              </w:rPr>
              <w:t>G7 - Release candidate</w:t>
            </w:r>
          </w:p>
        </w:tc>
        <w:tc>
          <w:tcPr>
            <w:tcW w:type="dxa" w:w="7344"/>
            <w:shd w:fill="F4F6F7"/>
            <w:vAlign w:val="top"/>
            <w:tcMar>
              <w:top w:w="90" w:type="dxa"/>
              <w:start w:w="110" w:type="dxa"/>
              <w:bottom w:w="90" w:type="dxa"/>
              <w:end w:w="110" w:type="dxa"/>
            </w:tcMar>
          </w:tcPr>
          <w:p>
            <w:pPr>
              <w:spacing w:after="0"/>
            </w:pPr>
            <w:r>
              <w:rPr>
                <w:sz w:val="18"/>
              </w:rPr>
              <w:t>Zero critical defects, approved known-issue list, full multiplayer regression, migration, disconnect, recovery, and soak tests.</w:t>
            </w:r>
          </w:p>
        </w:tc>
      </w:tr>
    </w:tbl>
    <w:p>
      <w:pPr>
        <w:spacing w:after="0"/>
      </w:pPr>
    </w:p>
    <w:p>
      <w:pPr>
        <w:pStyle w:val="Heading2"/>
      </w:pPr>
      <w:r>
        <w:t>Top Risks and Mitigations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162735"/>
            <w:vAlign w:val="center"/>
            <w:tcMar>
              <w:top w:w="90" w:type="dxa"/>
              <w:start w:w="110" w:type="dxa"/>
              <w:bottom w:w="90" w:type="dxa"/>
              <w:end w:w="110" w:type="dxa"/>
            </w:tcMar>
          </w:tcPr>
          <w:p>
            <w:r>
              <w:rPr>
                <w:b/>
                <w:color w:val="FFFFFF"/>
                <w:sz w:val="18"/>
              </w:rPr>
              <w:t>Risk</w:t>
            </w:r>
          </w:p>
        </w:tc>
        <w:tc>
          <w:tcPr>
            <w:tcW w:type="dxa" w:w="3168"/>
            <w:shd w:fill="162735"/>
            <w:vAlign w:val="center"/>
            <w:tcMar>
              <w:top w:w="90" w:type="dxa"/>
              <w:start w:w="110" w:type="dxa"/>
              <w:bottom w:w="90" w:type="dxa"/>
              <w:end w:w="110" w:type="dxa"/>
            </w:tcMar>
          </w:tcPr>
          <w:p>
            <w:r>
              <w:rPr>
                <w:b/>
                <w:color w:val="FFFFFF"/>
                <w:sz w:val="18"/>
              </w:rPr>
              <w:t>Impact</w:t>
            </w:r>
          </w:p>
        </w:tc>
        <w:tc>
          <w:tcPr>
            <w:tcW w:type="dxa" w:w="4176"/>
            <w:shd w:fill="162735"/>
            <w:vAlign w:val="center"/>
            <w:tcMar>
              <w:top w:w="90" w:type="dxa"/>
              <w:start w:w="110" w:type="dxa"/>
              <w:bottom w:w="90" w:type="dxa"/>
              <w:end w:w="110" w:type="dxa"/>
            </w:tcMar>
          </w:tcPr>
          <w:p>
            <w:r>
              <w:rPr>
                <w:b/>
                <w:color w:val="FFFFFF"/>
                <w:sz w:val="18"/>
              </w:rPr>
              <w:t>Mitigation</w:t>
            </w:r>
          </w:p>
        </w:tc>
      </w:tr>
      <w:tr>
        <w:tc>
          <w:tcPr>
            <w:tcW w:type="dxa" w:w="2376"/>
            <w:vAlign w:val="top"/>
            <w:tcMar>
              <w:top w:w="90" w:type="dxa"/>
              <w:start w:w="110" w:type="dxa"/>
              <w:bottom w:w="90" w:type="dxa"/>
              <w:end w:w="110" w:type="dxa"/>
            </w:tcMar>
          </w:tcPr>
          <w:p>
            <w:pPr>
              <w:spacing w:after="0"/>
            </w:pPr>
            <w:r>
              <w:rPr>
                <w:sz w:val="18"/>
              </w:rPr>
              <w:t>Persistent-war complexity</w:t>
            </w:r>
          </w:p>
        </w:tc>
        <w:tc>
          <w:tcPr>
            <w:tcW w:type="dxa" w:w="3168"/>
            <w:vAlign w:val="top"/>
            <w:tcMar>
              <w:top w:w="90" w:type="dxa"/>
              <w:start w:w="110" w:type="dxa"/>
              <w:bottom w:w="90" w:type="dxa"/>
              <w:end w:w="110" w:type="dxa"/>
            </w:tcMar>
          </w:tcPr>
          <w:p>
            <w:pPr>
              <w:spacing w:after="0"/>
            </w:pPr>
            <w:r>
              <w:rPr>
                <w:sz w:val="18"/>
              </w:rPr>
              <w:t>Opaque outcomes and difficult balancing</w:t>
            </w:r>
          </w:p>
        </w:tc>
        <w:tc>
          <w:tcPr>
            <w:tcW w:type="dxa" w:w="4176"/>
            <w:vAlign w:val="top"/>
            <w:tcMar>
              <w:top w:w="90" w:type="dxa"/>
              <w:start w:w="110" w:type="dxa"/>
              <w:bottom w:w="90" w:type="dxa"/>
              <w:end w:w="110" w:type="dxa"/>
            </w:tcMar>
          </w:tcPr>
          <w:p>
            <w:pPr>
              <w:spacing w:after="0"/>
            </w:pPr>
            <w:r>
              <w:rPr>
                <w:sz w:val="18"/>
              </w:rPr>
              <w:t>Explainable scores, deterministic logs, limited simultaneous priorities.</w:t>
            </w:r>
          </w:p>
        </w:tc>
      </w:tr>
      <w:tr>
        <w:tc>
          <w:tcPr>
            <w:tcW w:type="dxa" w:w="2376"/>
            <w:shd w:fill="F4F6F7"/>
            <w:vAlign w:val="top"/>
            <w:tcMar>
              <w:top w:w="90" w:type="dxa"/>
              <w:start w:w="110" w:type="dxa"/>
              <w:bottom w:w="90" w:type="dxa"/>
              <w:end w:w="110" w:type="dxa"/>
            </w:tcMar>
          </w:tcPr>
          <w:p>
            <w:pPr>
              <w:spacing w:after="0"/>
            </w:pPr>
            <w:r>
              <w:rPr>
                <w:sz w:val="18"/>
              </w:rPr>
              <w:t>Open-world AI navigation</w:t>
            </w:r>
          </w:p>
        </w:tc>
        <w:tc>
          <w:tcPr>
            <w:tcW w:type="dxa" w:w="3168"/>
            <w:shd w:fill="F4F6F7"/>
            <w:vAlign w:val="top"/>
            <w:tcMar>
              <w:top w:w="90" w:type="dxa"/>
              <w:start w:w="110" w:type="dxa"/>
              <w:bottom w:w="90" w:type="dxa"/>
              <w:end w:w="110" w:type="dxa"/>
            </w:tcMar>
          </w:tcPr>
          <w:p>
            <w:pPr>
              <w:spacing w:after="0"/>
            </w:pPr>
            <w:r>
              <w:rPr>
                <w:sz w:val="18"/>
              </w:rPr>
              <w:t>Stalls, poor cover, broken operations</w:t>
            </w:r>
          </w:p>
        </w:tc>
        <w:tc>
          <w:tcPr>
            <w:tcW w:type="dxa" w:w="4176"/>
            <w:shd w:fill="F4F6F7"/>
            <w:vAlign w:val="top"/>
            <w:tcMar>
              <w:top w:w="90" w:type="dxa"/>
              <w:start w:w="110" w:type="dxa"/>
              <w:bottom w:w="90" w:type="dxa"/>
              <w:end w:w="110" w:type="dxa"/>
            </w:tcMar>
          </w:tcPr>
          <w:p>
            <w:pPr>
              <w:spacing w:after="0"/>
            </w:pPr>
            <w:r>
              <w:rPr>
                <w:sz w:val="18"/>
              </w:rPr>
              <w:t>Invoker coverage validation, fallback behaviors, encounter nav budgets.</w:t>
            </w:r>
          </w:p>
        </w:tc>
      </w:tr>
      <w:tr>
        <w:tc>
          <w:tcPr>
            <w:tcW w:type="dxa" w:w="2376"/>
            <w:vAlign w:val="top"/>
            <w:tcMar>
              <w:top w:w="90" w:type="dxa"/>
              <w:start w:w="110" w:type="dxa"/>
              <w:bottom w:w="90" w:type="dxa"/>
              <w:end w:w="110" w:type="dxa"/>
            </w:tcMar>
          </w:tcPr>
          <w:p>
            <w:pPr>
              <w:spacing w:after="0"/>
            </w:pPr>
            <w:r>
              <w:rPr>
                <w:sz w:val="18"/>
              </w:rPr>
              <w:t>Save-state breadth</w:t>
            </w:r>
          </w:p>
        </w:tc>
        <w:tc>
          <w:tcPr>
            <w:tcW w:type="dxa" w:w="3168"/>
            <w:vAlign w:val="top"/>
            <w:tcMar>
              <w:top w:w="90" w:type="dxa"/>
              <w:start w:w="110" w:type="dxa"/>
              <w:bottom w:w="90" w:type="dxa"/>
              <w:end w:w="110" w:type="dxa"/>
            </w:tcMar>
          </w:tcPr>
          <w:p>
            <w:pPr>
              <w:spacing w:after="0"/>
            </w:pPr>
            <w:r>
              <w:rPr>
                <w:sz w:val="18"/>
              </w:rPr>
              <w:t>Corruption or incompatible contracts</w:t>
            </w:r>
          </w:p>
        </w:tc>
        <w:tc>
          <w:tcPr>
            <w:tcW w:type="dxa" w:w="4176"/>
            <w:vAlign w:val="top"/>
            <w:tcMar>
              <w:top w:w="90" w:type="dxa"/>
              <w:start w:w="110" w:type="dxa"/>
              <w:bottom w:w="90" w:type="dxa"/>
              <w:end w:w="110" w:type="dxa"/>
            </w:tcMar>
          </w:tcPr>
          <w:p>
            <w:pPr>
              <w:spacing w:after="0"/>
            </w:pPr>
            <w:r>
              <w:rPr>
                <w:sz w:val="18"/>
              </w:rPr>
              <w:t>Stable IDs, versioning, migration tests, staged checkpoints, backups.</w:t>
            </w:r>
          </w:p>
        </w:tc>
      </w:tr>
      <w:tr>
        <w:tc>
          <w:tcPr>
            <w:tcW w:type="dxa" w:w="2376"/>
            <w:shd w:fill="F4F6F7"/>
            <w:vAlign w:val="top"/>
            <w:tcMar>
              <w:top w:w="90" w:type="dxa"/>
              <w:start w:w="110" w:type="dxa"/>
              <w:bottom w:w="90" w:type="dxa"/>
              <w:end w:w="110" w:type="dxa"/>
            </w:tcMar>
          </w:tcPr>
          <w:p>
            <w:pPr>
              <w:spacing w:after="0"/>
            </w:pPr>
            <w:r>
              <w:rPr>
                <w:sz w:val="18"/>
              </w:rPr>
              <w:t>Scope inflation</w:t>
            </w:r>
          </w:p>
        </w:tc>
        <w:tc>
          <w:tcPr>
            <w:tcW w:type="dxa" w:w="3168"/>
            <w:shd w:fill="F4F6F7"/>
            <w:vAlign w:val="top"/>
            <w:tcMar>
              <w:top w:w="90" w:type="dxa"/>
              <w:start w:w="110" w:type="dxa"/>
              <w:bottom w:w="90" w:type="dxa"/>
              <w:end w:w="110" w:type="dxa"/>
            </w:tcMar>
          </w:tcPr>
          <w:p>
            <w:pPr>
              <w:spacing w:after="0"/>
            </w:pPr>
            <w:r>
              <w:rPr>
                <w:sz w:val="18"/>
              </w:rPr>
              <w:t>Many shallow systems</w:t>
            </w:r>
          </w:p>
        </w:tc>
        <w:tc>
          <w:tcPr>
            <w:tcW w:type="dxa" w:w="4176"/>
            <w:shd w:fill="F4F6F7"/>
            <w:vAlign w:val="top"/>
            <w:tcMar>
              <w:top w:w="90" w:type="dxa"/>
              <w:start w:w="110" w:type="dxa"/>
              <w:bottom w:w="90" w:type="dxa"/>
              <w:end w:w="110" w:type="dxa"/>
            </w:tcMar>
          </w:tcPr>
          <w:p>
            <w:pPr>
              <w:spacing w:after="0"/>
            </w:pPr>
            <w:r>
              <w:rPr>
                <w:sz w:val="18"/>
              </w:rPr>
              <w:t>First Light quality gate; operation types reuse shared rules.</w:t>
            </w:r>
          </w:p>
        </w:tc>
      </w:tr>
      <w:tr>
        <w:tc>
          <w:tcPr>
            <w:tcW w:type="dxa" w:w="2376"/>
            <w:vAlign w:val="top"/>
            <w:tcMar>
              <w:top w:w="90" w:type="dxa"/>
              <w:start w:w="110" w:type="dxa"/>
              <w:bottom w:w="90" w:type="dxa"/>
              <w:end w:w="110" w:type="dxa"/>
            </w:tcMar>
          </w:tcPr>
          <w:p>
            <w:pPr>
              <w:spacing w:after="0"/>
            </w:pPr>
            <w:r>
              <w:rPr>
                <w:sz w:val="18"/>
              </w:rPr>
              <w:t>Readability vs realism</w:t>
            </w:r>
          </w:p>
        </w:tc>
        <w:tc>
          <w:tcPr>
            <w:tcW w:type="dxa" w:w="3168"/>
            <w:vAlign w:val="top"/>
            <w:tcMar>
              <w:top w:w="90" w:type="dxa"/>
              <w:start w:w="110" w:type="dxa"/>
              <w:bottom w:w="90" w:type="dxa"/>
              <w:end w:w="110" w:type="dxa"/>
            </w:tcMar>
          </w:tcPr>
          <w:p>
            <w:pPr>
              <w:spacing w:after="0"/>
            </w:pPr>
            <w:r>
              <w:rPr>
                <w:sz w:val="18"/>
              </w:rPr>
              <w:t>Dark scenes and ambiguous damage</w:t>
            </w:r>
          </w:p>
        </w:tc>
        <w:tc>
          <w:tcPr>
            <w:tcW w:type="dxa" w:w="4176"/>
            <w:vAlign w:val="top"/>
            <w:tcMar>
              <w:top w:w="90" w:type="dxa"/>
              <w:start w:w="110" w:type="dxa"/>
              <w:bottom w:w="90" w:type="dxa"/>
              <w:end w:w="110" w:type="dxa"/>
            </w:tcMar>
          </w:tcPr>
          <w:p>
            <w:pPr>
              <w:spacing w:after="0"/>
            </w:pPr>
            <w:r>
              <w:rPr>
                <w:sz w:val="18"/>
              </w:rPr>
              <w:t>Minimum visibility floor, layered feedback, accessibility controls.</w:t>
            </w:r>
          </w:p>
        </w:tc>
      </w:tr>
      <w:tr>
        <w:tc>
          <w:tcPr>
            <w:tcW w:type="dxa" w:w="2376"/>
            <w:shd w:fill="F4F6F7"/>
            <w:vAlign w:val="top"/>
            <w:tcMar>
              <w:top w:w="90" w:type="dxa"/>
              <w:start w:w="110" w:type="dxa"/>
              <w:bottom w:w="90" w:type="dxa"/>
              <w:end w:w="110" w:type="dxa"/>
            </w:tcMar>
          </w:tcPr>
          <w:p>
            <w:pPr>
              <w:spacing w:after="0"/>
            </w:pPr>
            <w:r>
              <w:rPr>
                <w:sz w:val="18"/>
              </w:rPr>
              <w:t>Vehicle/logistics friction</w:t>
            </w:r>
          </w:p>
        </w:tc>
        <w:tc>
          <w:tcPr>
            <w:tcW w:type="dxa" w:w="3168"/>
            <w:shd w:fill="F4F6F7"/>
            <w:vAlign w:val="top"/>
            <w:tcMar>
              <w:top w:w="90" w:type="dxa"/>
              <w:start w:w="110" w:type="dxa"/>
              <w:bottom w:w="90" w:type="dxa"/>
              <w:end w:w="110" w:type="dxa"/>
            </w:tcMar>
          </w:tcPr>
          <w:p>
            <w:pPr>
              <w:spacing w:after="0"/>
            </w:pPr>
            <w:r>
              <w:rPr>
                <w:sz w:val="18"/>
              </w:rPr>
              <w:t>Travel becomes chore</w:t>
            </w:r>
          </w:p>
        </w:tc>
        <w:tc>
          <w:tcPr>
            <w:tcW w:type="dxa" w:w="4176"/>
            <w:shd w:fill="F4F6F7"/>
            <w:vAlign w:val="top"/>
            <w:tcMar>
              <w:top w:w="90" w:type="dxa"/>
              <w:start w:w="110" w:type="dxa"/>
              <w:bottom w:w="90" w:type="dxa"/>
              <w:end w:w="110" w:type="dxa"/>
            </w:tcMar>
          </w:tcPr>
          <w:p>
            <w:pPr>
              <w:spacing w:after="0"/>
            </w:pPr>
            <w:r>
              <w:rPr>
                <w:sz w:val="18"/>
              </w:rPr>
              <w:t>Fast road speed, route events, recovery options, concise service interactions.</w:t>
            </w:r>
          </w:p>
        </w:tc>
      </w:tr>
      <w:tr>
        <w:tc>
          <w:tcPr>
            <w:tcW w:type="dxa" w:w="2376"/>
            <w:vAlign w:val="top"/>
            <w:tcMar>
              <w:top w:w="90" w:type="dxa"/>
              <w:start w:w="110" w:type="dxa"/>
              <w:bottom w:w="90" w:type="dxa"/>
              <w:end w:w="110" w:type="dxa"/>
            </w:tcMar>
          </w:tcPr>
          <w:p>
            <w:pPr>
              <w:spacing w:after="0"/>
            </w:pPr>
            <w:r>
              <w:rPr>
                <w:sz w:val="18"/>
              </w:rPr>
              <w:t>Network state divergence</w:t>
            </w:r>
          </w:p>
        </w:tc>
        <w:tc>
          <w:tcPr>
            <w:tcW w:type="dxa" w:w="3168"/>
            <w:vAlign w:val="top"/>
            <w:tcMar>
              <w:top w:w="90" w:type="dxa"/>
              <w:start w:w="110" w:type="dxa"/>
              <w:bottom w:w="90" w:type="dxa"/>
              <w:end w:w="110" w:type="dxa"/>
            </w:tcMar>
          </w:tcPr>
          <w:p>
            <w:pPr>
              <w:spacing w:after="0"/>
            </w:pPr>
            <w:r>
              <w:rPr>
                <w:sz w:val="18"/>
              </w:rPr>
              <w:t>Clients see different war, objective, inventory, or transport state</w:t>
            </w:r>
          </w:p>
        </w:tc>
        <w:tc>
          <w:tcPr>
            <w:tcW w:type="dxa" w:w="4176"/>
            <w:vAlign w:val="top"/>
            <w:tcMar>
              <w:top w:w="90" w:type="dxa"/>
              <w:start w:w="110" w:type="dxa"/>
              <w:bottom w:w="90" w:type="dxa"/>
              <w:end w:w="110" w:type="dxa"/>
            </w:tcMar>
          </w:tcPr>
          <w:p>
            <w:pPr>
              <w:spacing w:after="0"/>
            </w:pPr>
            <w:r>
              <w:rPr>
                <w:sz w:val="18"/>
              </w:rPr>
              <w:t>Server authority, revisioned snapshots, idempotent actions, multi-client functional tests.</w:t>
            </w:r>
          </w:p>
        </w:tc>
      </w:tr>
      <w:tr>
        <w:tc>
          <w:tcPr>
            <w:tcW w:type="dxa" w:w="2376"/>
            <w:shd w:fill="F4F6F7"/>
            <w:vAlign w:val="top"/>
            <w:tcMar>
              <w:top w:w="90" w:type="dxa"/>
              <w:start w:w="110" w:type="dxa"/>
              <w:bottom w:w="90" w:type="dxa"/>
              <w:end w:w="110" w:type="dxa"/>
            </w:tcMar>
          </w:tcPr>
          <w:p>
            <w:pPr>
              <w:spacing w:after="0"/>
            </w:pPr>
            <w:r>
              <w:rPr>
                <w:sz w:val="18"/>
              </w:rPr>
              <w:t>Host/session loss</w:t>
            </w:r>
          </w:p>
        </w:tc>
        <w:tc>
          <w:tcPr>
            <w:tcW w:type="dxa" w:w="3168"/>
            <w:shd w:fill="F4F6F7"/>
            <w:vAlign w:val="top"/>
            <w:tcMar>
              <w:top w:w="90" w:type="dxa"/>
              <w:start w:w="110" w:type="dxa"/>
              <w:bottom w:w="90" w:type="dxa"/>
              <w:end w:w="110" w:type="dxa"/>
            </w:tcMar>
          </w:tcPr>
          <w:p>
            <w:pPr>
              <w:spacing w:after="0"/>
            </w:pPr>
            <w:r>
              <w:rPr>
                <w:sz w:val="18"/>
              </w:rPr>
              <w:t>Campaign interruption or lost progress</w:t>
            </w:r>
          </w:p>
        </w:tc>
        <w:tc>
          <w:tcPr>
            <w:tcW w:type="dxa" w:w="4176"/>
            <w:shd w:fill="F4F6F7"/>
            <w:vAlign w:val="top"/>
            <w:tcMar>
              <w:top w:w="90" w:type="dxa"/>
              <w:start w:w="110" w:type="dxa"/>
              <w:bottom w:w="90" w:type="dxa"/>
              <w:end w:w="110" w:type="dxa"/>
            </w:tcMar>
          </w:tcPr>
          <w:p>
            <w:pPr>
              <w:spacing w:after="0"/>
            </w:pPr>
            <w:r>
              <w:rPr>
                <w:sz w:val="18"/>
              </w:rPr>
              <w:t>Controlled autosaves, reconnect policy, explicit host-loss messaging; host migration is a product gate.</w:t>
            </w:r>
          </w:p>
        </w:tc>
      </w:tr>
    </w:tbl>
    <w:p>
      <w:pPr>
        <w:spacing w:after="0"/>
      </w:pPr>
    </w:p>
    <w:p>
      <w:pPr>
        <w:pStyle w:val="Heading2"/>
      </w:pPr>
      <w:r>
        <w:t>Definition of Done: Player Experience</w:t>
      </w:r>
    </w:p>
    <w:p>
      <w:pPr>
        <w:pStyle w:val="ListBullet"/>
      </w:pPr>
      <w:r>
        <w:t>Every connected player sees the same current tactical objective, operation phase, and strategic reason for it.</w:t>
      </w:r>
    </w:p>
    <w:p>
      <w:pPr>
        <w:pStyle w:val="ListBullet"/>
      </w:pPr>
      <w:r>
        <w:t>Movement, posture, recoil, suppression, injuries, and treatment create distinct, learnable tradeoffs.</w:t>
      </w:r>
    </w:p>
    <w:p>
      <w:pPr>
        <w:pStyle w:val="ListBullet"/>
      </w:pPr>
      <w:r>
        <w:t>Enemies perceive, communicate, use cover, reposition, search, evade grenades, and retreat without obvious cheating.</w:t>
      </w:r>
    </w:p>
    <w:p>
      <w:pPr>
        <w:pStyle w:val="ListBullet"/>
      </w:pPr>
      <w:r>
        <w:t>At least two viable tactical approaches exist for principal encounters.</w:t>
      </w:r>
    </w:p>
    <w:p>
      <w:pPr>
        <w:pStyle w:val="ListBullet"/>
      </w:pPr>
      <w:r>
        <w:t>Operation outcomes persist authoritatively and visibly alter territory, supply, forces, or future priorities for all clients.</w:t>
      </w:r>
    </w:p>
    <w:p>
      <w:pPr>
        <w:pStyle w:val="ListBullet"/>
      </w:pPr>
      <w:r>
        <w:t>The game remains comprehensible with color removed and core camera effects disabled.</w:t>
      </w:r>
    </w:p>
    <w:p>
      <w:pPr>
        <w:pStyle w:val="ListBullet"/>
      </w:pPr>
      <w:r>
        <w:t>A complete multiplayer campaign can be finished without desync, duplicated state, save loss, unrecoverable supply lock, or mandatory debug intervention.</w:t>
      </w:r>
    </w:p>
    <w:p>
      <w:pPr>
        <w:pStyle w:val="Heading2"/>
      </w:pPr>
      <w:r>
        <w:t>Open Product Decisions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162735"/>
            <w:vAlign w:val="center"/>
            <w:tcMar>
              <w:top w:w="90" w:type="dxa"/>
              <w:start w:w="110" w:type="dxa"/>
              <w:bottom w:w="90" w:type="dxa"/>
              <w:end w:w="110" w:type="dxa"/>
            </w:tcMar>
          </w:tcPr>
          <w:p>
            <w:r>
              <w:rPr>
                <w:b/>
                <w:color w:val="FFFFFF"/>
                <w:sz w:val="18"/>
              </w:rPr>
              <w:t>Decision</w:t>
            </w:r>
          </w:p>
        </w:tc>
        <w:tc>
          <w:tcPr>
            <w:tcW w:type="dxa" w:w="4176"/>
            <w:shd w:fill="162735"/>
            <w:vAlign w:val="center"/>
            <w:tcMar>
              <w:top w:w="90" w:type="dxa"/>
              <w:start w:w="110" w:type="dxa"/>
              <w:bottom w:w="90" w:type="dxa"/>
              <w:end w:w="110" w:type="dxa"/>
            </w:tcMar>
          </w:tcPr>
          <w:p>
            <w:r>
              <w:rPr>
                <w:b/>
                <w:color w:val="FFFFFF"/>
                <w:sz w:val="18"/>
              </w:rPr>
              <w:t>Recommended default</w:t>
            </w:r>
          </w:p>
        </w:tc>
        <w:tc>
          <w:tcPr>
            <w:tcW w:type="dxa" w:w="3168"/>
            <w:shd w:fill="162735"/>
            <w:vAlign w:val="center"/>
            <w:tcMar>
              <w:top w:w="90" w:type="dxa"/>
              <w:start w:w="110" w:type="dxa"/>
              <w:bottom w:w="90" w:type="dxa"/>
              <w:end w:w="110" w:type="dxa"/>
            </w:tcMar>
          </w:tcPr>
          <w:p>
            <w:r>
              <w:rPr>
                <w:b/>
                <w:color w:val="FFFFFF"/>
                <w:sz w:val="18"/>
              </w:rPr>
              <w:t>Decision gate</w:t>
            </w:r>
          </w:p>
        </w:tc>
      </w:tr>
      <w:tr>
        <w:tc>
          <w:tcPr>
            <w:tcW w:type="dxa" w:w="2376"/>
            <w:vAlign w:val="top"/>
            <w:tcMar>
              <w:top w:w="90" w:type="dxa"/>
              <w:start w:w="110" w:type="dxa"/>
              <w:bottom w:w="90" w:type="dxa"/>
              <w:end w:w="110" w:type="dxa"/>
            </w:tcMar>
          </w:tcPr>
          <w:p>
            <w:pPr>
              <w:spacing w:after="0"/>
            </w:pPr>
            <w:r>
              <w:rPr>
                <w:sz w:val="18"/>
              </w:rPr>
              <w:t>Player cap</w:t>
            </w:r>
          </w:p>
        </w:tc>
        <w:tc>
          <w:tcPr>
            <w:tcW w:type="dxa" w:w="4176"/>
            <w:vAlign w:val="top"/>
            <w:tcMar>
              <w:top w:w="90" w:type="dxa"/>
              <w:start w:w="110" w:type="dxa"/>
              <w:bottom w:w="90" w:type="dxa"/>
              <w:end w:w="110" w:type="dxa"/>
            </w:tcMar>
          </w:tcPr>
          <w:p>
            <w:pPr>
              <w:spacing w:after="0"/>
            </w:pPr>
            <w:r>
              <w:rPr>
                <w:sz w:val="18"/>
              </w:rPr>
              <w:t>Squad-sized; lock the exact cap through First Light replication and encounter tests</w:t>
            </w:r>
          </w:p>
        </w:tc>
        <w:tc>
          <w:tcPr>
            <w:tcW w:type="dxa" w:w="3168"/>
            <w:vAlign w:val="top"/>
            <w:tcMar>
              <w:top w:w="90" w:type="dxa"/>
              <w:start w:w="110" w:type="dxa"/>
              <w:bottom w:w="90" w:type="dxa"/>
              <w:end w:w="110" w:type="dxa"/>
            </w:tcMar>
          </w:tcPr>
          <w:p>
            <w:pPr>
              <w:spacing w:after="0"/>
            </w:pPr>
            <w:r>
              <w:rPr>
                <w:sz w:val="18"/>
              </w:rPr>
              <w:t>Before campaign content budgets</w:t>
            </w:r>
          </w:p>
        </w:tc>
      </w:tr>
      <w:tr>
        <w:tc>
          <w:tcPr>
            <w:tcW w:type="dxa" w:w="2376"/>
            <w:shd w:fill="F4F6F7"/>
            <w:vAlign w:val="top"/>
            <w:tcMar>
              <w:top w:w="90" w:type="dxa"/>
              <w:start w:w="110" w:type="dxa"/>
              <w:bottom w:w="90" w:type="dxa"/>
              <w:end w:w="110" w:type="dxa"/>
            </w:tcMar>
          </w:tcPr>
          <w:p>
            <w:pPr>
              <w:spacing w:after="0"/>
            </w:pPr>
            <w:r>
              <w:rPr>
                <w:sz w:val="18"/>
              </w:rPr>
              <w:t>Session discovery</w:t>
            </w:r>
          </w:p>
        </w:tc>
        <w:tc>
          <w:tcPr>
            <w:tcW w:type="dxa" w:w="4176"/>
            <w:shd w:fill="F4F6F7"/>
            <w:vAlign w:val="top"/>
            <w:tcMar>
              <w:top w:w="90" w:type="dxa"/>
              <w:start w:w="110" w:type="dxa"/>
              <w:bottom w:w="90" w:type="dxa"/>
              <w:end w:w="110" w:type="dxa"/>
            </w:tcMar>
          </w:tcPr>
          <w:p>
            <w:pPr>
              <w:spacing w:after="0"/>
            </w:pPr>
            <w:r>
              <w:rPr>
                <w:sz w:val="18"/>
              </w:rPr>
              <w:t>Direct invite plus server browser; matchmaking only if audience testing supports it</w:t>
            </w:r>
          </w:p>
        </w:tc>
        <w:tc>
          <w:tcPr>
            <w:tcW w:type="dxa" w:w="3168"/>
            <w:shd w:fill="F4F6F7"/>
            <w:vAlign w:val="top"/>
            <w:tcMar>
              <w:top w:w="90" w:type="dxa"/>
              <w:start w:w="110" w:type="dxa"/>
              <w:bottom w:w="90" w:type="dxa"/>
              <w:end w:w="110" w:type="dxa"/>
            </w:tcMar>
          </w:tcPr>
          <w:p>
            <w:pPr>
              <w:spacing w:after="0"/>
            </w:pPr>
            <w:r>
              <w:rPr>
                <w:sz w:val="18"/>
              </w:rPr>
              <w:t>Before online services integration</w:t>
            </w:r>
          </w:p>
        </w:tc>
      </w:tr>
      <w:tr>
        <w:tc>
          <w:tcPr>
            <w:tcW w:type="dxa" w:w="2376"/>
            <w:vAlign w:val="top"/>
            <w:tcMar>
              <w:top w:w="90" w:type="dxa"/>
              <w:start w:w="110" w:type="dxa"/>
              <w:bottom w:w="90" w:type="dxa"/>
              <w:end w:w="110" w:type="dxa"/>
            </w:tcMar>
          </w:tcPr>
          <w:p>
            <w:pPr>
              <w:spacing w:after="0"/>
            </w:pPr>
            <w:r>
              <w:rPr>
                <w:sz w:val="18"/>
              </w:rPr>
              <w:t>Host migration</w:t>
            </w:r>
          </w:p>
        </w:tc>
        <w:tc>
          <w:tcPr>
            <w:tcW w:type="dxa" w:w="4176"/>
            <w:vAlign w:val="top"/>
            <w:tcMar>
              <w:top w:w="90" w:type="dxa"/>
              <w:start w:w="110" w:type="dxa"/>
              <w:bottom w:w="90" w:type="dxa"/>
              <w:end w:w="110" w:type="dxa"/>
            </w:tcMar>
          </w:tcPr>
          <w:p>
            <w:pPr>
              <w:spacing w:after="0"/>
            </w:pPr>
            <w:r>
              <w:rPr>
                <w:sz w:val="18"/>
              </w:rPr>
              <w:t>Not assumed; evaluate against campaign ownership and platform services</w:t>
            </w:r>
          </w:p>
        </w:tc>
        <w:tc>
          <w:tcPr>
            <w:tcW w:type="dxa" w:w="3168"/>
            <w:vAlign w:val="top"/>
            <w:tcMar>
              <w:top w:w="90" w:type="dxa"/>
              <w:start w:w="110" w:type="dxa"/>
              <w:bottom w:w="90" w:type="dxa"/>
              <w:end w:w="110" w:type="dxa"/>
            </w:tcMar>
          </w:tcPr>
          <w:p>
            <w:pPr>
              <w:spacing w:after="0"/>
            </w:pPr>
            <w:r>
              <w:rPr>
                <w:sz w:val="18"/>
              </w:rPr>
              <w:t>Before persistence architecture lock</w:t>
            </w:r>
          </w:p>
        </w:tc>
      </w:tr>
      <w:tr>
        <w:tc>
          <w:tcPr>
            <w:tcW w:type="dxa" w:w="2376"/>
            <w:shd w:fill="F4F6F7"/>
            <w:vAlign w:val="top"/>
            <w:tcMar>
              <w:top w:w="90" w:type="dxa"/>
              <w:start w:w="110" w:type="dxa"/>
              <w:bottom w:w="90" w:type="dxa"/>
              <w:end w:w="110" w:type="dxa"/>
            </w:tcMar>
          </w:tcPr>
          <w:p>
            <w:pPr>
              <w:spacing w:after="0"/>
            </w:pPr>
            <w:r>
              <w:rPr>
                <w:sz w:val="18"/>
              </w:rPr>
              <w:t>Player identity</w:t>
            </w:r>
          </w:p>
        </w:tc>
        <w:tc>
          <w:tcPr>
            <w:tcW w:type="dxa" w:w="4176"/>
            <w:shd w:fill="F4F6F7"/>
            <w:vAlign w:val="top"/>
            <w:tcMar>
              <w:top w:w="90" w:type="dxa"/>
              <w:start w:w="110" w:type="dxa"/>
              <w:bottom w:w="90" w:type="dxa"/>
              <w:end w:w="110" w:type="dxa"/>
            </w:tcMar>
          </w:tcPr>
          <w:p>
            <w:pPr>
              <w:spacing w:after="0"/>
            </w:pPr>
            <w:r>
              <w:rPr>
                <w:sz w:val="18"/>
              </w:rPr>
              <w:t>Role/loadout identity with light visual customization</w:t>
            </w:r>
          </w:p>
        </w:tc>
        <w:tc>
          <w:tcPr>
            <w:tcW w:type="dxa" w:w="3168"/>
            <w:shd w:fill="F4F6F7"/>
            <w:vAlign w:val="top"/>
            <w:tcMar>
              <w:top w:w="90" w:type="dxa"/>
              <w:start w:w="110" w:type="dxa"/>
              <w:bottom w:w="90" w:type="dxa"/>
              <w:end w:w="110" w:type="dxa"/>
            </w:tcMar>
          </w:tcPr>
          <w:p>
            <w:pPr>
              <w:spacing w:after="0"/>
            </w:pPr>
            <w:r>
              <w:rPr>
                <w:sz w:val="18"/>
              </w:rPr>
              <w:t>Before narrative/content production</w:t>
            </w:r>
          </w:p>
        </w:tc>
      </w:tr>
      <w:tr>
        <w:tc>
          <w:tcPr>
            <w:tcW w:type="dxa" w:w="2376"/>
            <w:vAlign w:val="top"/>
            <w:tcMar>
              <w:top w:w="90" w:type="dxa"/>
              <w:start w:w="110" w:type="dxa"/>
              <w:bottom w:w="90" w:type="dxa"/>
              <w:end w:w="110" w:type="dxa"/>
            </w:tcMar>
          </w:tcPr>
          <w:p>
            <w:pPr>
              <w:spacing w:after="0"/>
            </w:pPr>
            <w:r>
              <w:rPr>
                <w:sz w:val="18"/>
              </w:rPr>
              <w:t>Console</w:t>
            </w:r>
          </w:p>
        </w:tc>
        <w:tc>
          <w:tcPr>
            <w:tcW w:type="dxa" w:w="4176"/>
            <w:vAlign w:val="top"/>
            <w:tcMar>
              <w:top w:w="90" w:type="dxa"/>
              <w:start w:w="110" w:type="dxa"/>
              <w:bottom w:w="90" w:type="dxa"/>
              <w:end w:w="110" w:type="dxa"/>
            </w:tcMar>
          </w:tcPr>
          <w:p>
            <w:pPr>
              <w:spacing w:after="0"/>
            </w:pPr>
            <w:r>
              <w:rPr>
                <w:sz w:val="18"/>
              </w:rPr>
              <w:t>PC first; maintain controller/performance compatibility</w:t>
            </w:r>
          </w:p>
        </w:tc>
        <w:tc>
          <w:tcPr>
            <w:tcW w:type="dxa" w:w="3168"/>
            <w:vAlign w:val="top"/>
            <w:tcMar>
              <w:top w:w="90" w:type="dxa"/>
              <w:start w:w="110" w:type="dxa"/>
              <w:bottom w:w="90" w:type="dxa"/>
              <w:end w:w="110" w:type="dxa"/>
            </w:tcMar>
          </w:tcPr>
          <w:p>
            <w:pPr>
              <w:spacing w:after="0"/>
            </w:pPr>
            <w:r>
              <w:rPr>
                <w:sz w:val="18"/>
              </w:rPr>
              <w:t>After vertical-slice profiling</w:t>
            </w:r>
          </w:p>
        </w:tc>
      </w:tr>
      <w:tr>
        <w:tc>
          <w:tcPr>
            <w:tcW w:type="dxa" w:w="2376"/>
            <w:shd w:fill="F4F6F7"/>
            <w:vAlign w:val="top"/>
            <w:tcMar>
              <w:top w:w="90" w:type="dxa"/>
              <w:start w:w="110" w:type="dxa"/>
              <w:bottom w:w="90" w:type="dxa"/>
              <w:end w:w="110" w:type="dxa"/>
            </w:tcMar>
          </w:tcPr>
          <w:p>
            <w:pPr>
              <w:spacing w:after="0"/>
            </w:pPr>
            <w:r>
              <w:rPr>
                <w:sz w:val="18"/>
              </w:rPr>
              <w:t>Mission restart policy</w:t>
            </w:r>
          </w:p>
        </w:tc>
        <w:tc>
          <w:tcPr>
            <w:tcW w:type="dxa" w:w="4176"/>
            <w:shd w:fill="F4F6F7"/>
            <w:vAlign w:val="top"/>
            <w:tcMar>
              <w:top w:w="90" w:type="dxa"/>
              <w:start w:w="110" w:type="dxa"/>
              <w:bottom w:w="90" w:type="dxa"/>
              <w:end w:w="110" w:type="dxa"/>
            </w:tcMar>
          </w:tcPr>
          <w:p>
            <w:pPr>
              <w:spacing w:after="0"/>
            </w:pPr>
            <w:r>
              <w:rPr>
                <w:sz w:val="18"/>
              </w:rPr>
              <w:t>Checkpoint retry plus explicit persistent-outcome option</w:t>
            </w:r>
          </w:p>
        </w:tc>
        <w:tc>
          <w:tcPr>
            <w:tcW w:type="dxa" w:w="3168"/>
            <w:shd w:fill="F4F6F7"/>
            <w:vAlign w:val="top"/>
            <w:tcMar>
              <w:top w:w="90" w:type="dxa"/>
              <w:start w:w="110" w:type="dxa"/>
              <w:bottom w:w="90" w:type="dxa"/>
              <w:end w:w="110" w:type="dxa"/>
            </w:tcMar>
          </w:tcPr>
          <w:p>
            <w:pPr>
              <w:spacing w:after="0"/>
            </w:pPr>
            <w:r>
              <w:rPr>
                <w:sz w:val="18"/>
              </w:rPr>
              <w:t>Campaign prototype playtest</w:t>
            </w:r>
          </w:p>
        </w:tc>
      </w:tr>
      <w:tr>
        <w:tc>
          <w:tcPr>
            <w:tcW w:type="dxa" w:w="2376"/>
            <w:vAlign w:val="top"/>
            <w:tcMar>
              <w:top w:w="90" w:type="dxa"/>
              <w:start w:w="110" w:type="dxa"/>
              <w:bottom w:w="90" w:type="dxa"/>
              <w:end w:w="110" w:type="dxa"/>
            </w:tcMar>
          </w:tcPr>
          <w:p>
            <w:pPr>
              <w:spacing w:after="0"/>
            </w:pPr>
            <w:r>
              <w:rPr>
                <w:sz w:val="18"/>
              </w:rPr>
              <w:t>Campaign length</w:t>
            </w:r>
          </w:p>
        </w:tc>
        <w:tc>
          <w:tcPr>
            <w:tcW w:type="dxa" w:w="4176"/>
            <w:vAlign w:val="top"/>
            <w:tcMar>
              <w:top w:w="90" w:type="dxa"/>
              <w:start w:w="110" w:type="dxa"/>
              <w:bottom w:w="90" w:type="dxa"/>
              <w:end w:w="110" w:type="dxa"/>
            </w:tcMar>
          </w:tcPr>
          <w:p>
            <w:pPr>
              <w:spacing w:after="0"/>
            </w:pPr>
            <w:r>
              <w:rPr>
                <w:sz w:val="18"/>
              </w:rPr>
              <w:t>10-15 hours for 1.0</w:t>
            </w:r>
          </w:p>
        </w:tc>
        <w:tc>
          <w:tcPr>
            <w:tcW w:type="dxa" w:w="3168"/>
            <w:vAlign w:val="top"/>
            <w:tcMar>
              <w:top w:w="90" w:type="dxa"/>
              <w:start w:w="110" w:type="dxa"/>
              <w:bottom w:w="90" w:type="dxa"/>
              <w:end w:w="110" w:type="dxa"/>
            </w:tcMar>
          </w:tcPr>
          <w:p>
            <w:pPr>
              <w:spacing w:after="0"/>
            </w:pPr>
            <w:r>
              <w:rPr>
                <w:sz w:val="18"/>
              </w:rPr>
              <w:t>After three-sector pacing data</w:t>
            </w:r>
          </w:p>
        </w:tc>
      </w:tr>
      <w:tr>
        <w:tc>
          <w:tcPr>
            <w:tcW w:type="dxa" w:w="2376"/>
            <w:shd w:fill="F4F6F7"/>
            <w:vAlign w:val="top"/>
            <w:tcMar>
              <w:top w:w="90" w:type="dxa"/>
              <w:start w:w="110" w:type="dxa"/>
              <w:bottom w:w="90" w:type="dxa"/>
              <w:end w:w="110" w:type="dxa"/>
            </w:tcMar>
          </w:tcPr>
          <w:p>
            <w:pPr>
              <w:spacing w:after="0"/>
            </w:pPr>
            <w:r>
              <w:rPr>
                <w:sz w:val="18"/>
              </w:rPr>
              <w:t>Voice language</w:t>
            </w:r>
          </w:p>
        </w:tc>
        <w:tc>
          <w:tcPr>
            <w:tcW w:type="dxa" w:w="4176"/>
            <w:shd w:fill="F4F6F7"/>
            <w:vAlign w:val="top"/>
            <w:tcMar>
              <w:top w:w="90" w:type="dxa"/>
              <w:start w:w="110" w:type="dxa"/>
              <w:bottom w:w="90" w:type="dxa"/>
              <w:end w:w="110" w:type="dxa"/>
            </w:tcMar>
          </w:tcPr>
          <w:p>
            <w:pPr>
              <w:spacing w:after="0"/>
            </w:pPr>
            <w:r>
              <w:rPr>
                <w:sz w:val="18"/>
              </w:rPr>
              <w:t>Fictionalized/neutral with localized subtitles</w:t>
            </w:r>
          </w:p>
        </w:tc>
        <w:tc>
          <w:tcPr>
            <w:tcW w:type="dxa" w:w="3168"/>
            <w:shd w:fill="F4F6F7"/>
            <w:vAlign w:val="top"/>
            <w:tcMar>
              <w:top w:w="90" w:type="dxa"/>
              <w:start w:w="110" w:type="dxa"/>
              <w:bottom w:w="90" w:type="dxa"/>
              <w:end w:w="110" w:type="dxa"/>
            </w:tcMar>
          </w:tcPr>
          <w:p>
            <w:pPr>
              <w:spacing w:after="0"/>
            </w:pPr>
            <w:r>
              <w:rPr>
                <w:sz w:val="18"/>
              </w:rPr>
              <w:t>Before audio casting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720"/>
            <w:shd w:fill="FCEFE7"/>
            <w:tcMar>
              <w:top w:w="150" w:type="dxa"/>
              <w:start w:w="180" w:type="dxa"/>
              <w:bottom w:w="150" w:type="dxa"/>
              <w:end w:w="180" w:type="dxa"/>
            </w:tcMar>
          </w:tcPr>
          <w:p>
            <w:pPr>
              <w:spacing w:after="40"/>
            </w:pPr>
            <w:r>
              <w:rPr>
                <w:b/>
                <w:color w:val="C96D2D"/>
              </w:rPr>
              <w:t xml:space="preserve">NEXT PRODUCTION ACTION  </w:t>
            </w:r>
            <w:r>
              <w:rPr>
                <w:color w:val="162735"/>
              </w:rPr>
              <w:t>Treat networked Operation First Light as the quality bar. Do not expand regional content until multiple clients can join, fight, interact, respawn, reconnect, travel, save, and extract with synchronized state, strong readability, stable performance, and target presentation.</w:t>
            </w:r>
          </w:p>
        </w:tc>
      </w:tr>
    </w:tbl>
    <w:p>
      <w:pPr>
        <w:spacing w:after="0"/>
      </w:pPr>
    </w:p>
    <w:p>
      <w:pPr>
        <w:pStyle w:val="Heading1"/>
      </w:pPr>
      <w:r>
        <w:t>Module Exit Checklist</w:t>
      </w:r>
    </w:p>
    <w:p>
      <w:pPr>
        <w:pStyle w:val="ListBullet"/>
      </w:pPr>
      <w:r>
        <w:t>The module can be read without another file to understand its owned decisions.</w:t>
      </w:r>
    </w:p>
    <w:p>
      <w:pPr>
        <w:pStyle w:val="ListBullet"/>
      </w:pPr>
      <w:r>
        <w:t>Every external dependency is named in the header and not silently duplicated.</w:t>
      </w:r>
    </w:p>
    <w:p>
      <w:pPr>
        <w:pStyle w:val="ListBullet"/>
      </w:pPr>
      <w:r>
        <w:t>Every published interface uses stable terminology consistent with the master index.</w:t>
      </w:r>
    </w:p>
    <w:p>
      <w:pPr>
        <w:pStyle w:val="ListBullet"/>
      </w:pPr>
      <w:r>
        <w:t>Multiplayer authority, replication, reconnect, and persistence implications are addressed where relevant.</w:t>
      </w:r>
    </w:p>
    <w:p>
      <w:pPr>
        <w:pStyle w:val="ListBullet"/>
      </w:pPr>
      <w:r>
        <w:t>Acceptance criteria are testable and assignable to a discipline.</w:t>
      </w:r>
    </w:p>
    <w:p>
      <w:pPr>
        <w:pStyle w:val="ListBullet"/>
      </w:pPr>
      <w:r>
        <w:t>Changes to objective IDs, persistence IDs, reflected names, paths, or save fields include a consumer audit.</w:t>
      </w:r>
    </w:p>
    <w:p>
      <w:pPr>
        <w:spacing w:before="200"/>
      </w:pPr>
      <w:r>
        <w:rPr>
          <w:b/>
          <w:color w:val="35566E"/>
        </w:rPr>
        <w:t>End of GDD-12  /  Production Scope, Roadmap, Risks, and Acceptance</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VERSION 1.1  |  29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ptos" w:hAnsi="Aptos"/>
        <w:b/>
        <w:color w:val="5E6C76"/>
        <w:sz w:val="16"/>
      </w:rPr>
      <w:t>BROKEN HORIZON  /  MODULAR GDD  /  GDD-12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GDD-12 - Production Scope, Roadmap, Risks, and Acceptance</dc:title>
  <dc:subject>Separable modular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