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96D2D"/>
          <w:sz w:val="22"/>
        </w:rPr>
        <w:t>GDD-13</w:t>
      </w:r>
    </w:p>
    <w:p>
      <w:pPr>
        <w:pStyle w:val="Title"/>
      </w:pPr>
      <w:r>
        <w:t>Canonical Tuning and Content Contracts</w:t>
      </w:r>
    </w:p>
    <w:p>
      <w:pPr>
        <w:pStyle w:val="Subtitle"/>
      </w:pPr>
      <w:r>
        <w:t>Standalone production module for the cooperative multiplayer game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Module owner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Design Lead / Technical Design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Depends 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GDD-03 through GDD-07, GDD-11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Publishes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Baseline values, First Light IDs and paths, source basis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Change rule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Update this module first, then review every listed consumer in the master index.</w:t>
            </w:r>
          </w:p>
        </w:tc>
      </w:tr>
    </w:tbl>
    <w:p/>
    <w:p>
      <w:pPr>
        <w:pStyle w:val="Heading1"/>
        <w:keepNext/>
      </w:pPr>
      <w:r>
        <w:t>Module Boundary Contract</w:t>
      </w:r>
    </w:p>
    <w:p>
      <w:pPr>
        <w:pStyle w:val="ListBullet"/>
      </w:pPr>
      <w:r>
        <w:t>This file may be assigned, reviewed, versioned, or replaced independently.</w:t>
      </w:r>
    </w:p>
    <w:p>
      <w:pPr>
        <w:pStyle w:val="ListBullet"/>
      </w:pPr>
      <w:r>
        <w:t>Terms and IDs published by this module are interfaces; downstream modules consume them without redefining them.</w:t>
      </w:r>
    </w:p>
    <w:p>
      <w:pPr>
        <w:pStyle w:val="ListBullet"/>
      </w:pPr>
      <w:r>
        <w:t>Cross-module changes require an impact review against the master dependency register.</w:t>
      </w:r>
    </w:p>
    <w:p>
      <w:pPr>
        <w:pStyle w:val="ListBullet"/>
      </w:pPr>
      <w:r>
        <w:t>Implementation values remain tunable unless explicitly identified as a persistence, objective, asset-path, or network contract.</w:t>
      </w:r>
    </w:p>
    <w:p>
      <w:pPr>
        <w:pStyle w:val="Heading1"/>
      </w:pPr>
      <w:r>
        <w:t>Design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74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Selected baseline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Player movement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Walk 400; sprint 700; prone 140 cm/s; stamina 100, drain 25/s, recovery 20/s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Traversal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Vault max 100 cm / 0.55 s / 12 stamina; mantle max 180 cm / 0.85 s / 20 stamina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Rifle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30+90, 600 RPM, 25 damage, 1.6 s reload, 50,000 cm range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Medical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 dressings, 2 medkits, 45 heal, 3.0 s treatment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Posture/injury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Prone spread 0.70; arm injury spread 1.65; leg movement 0.70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 perception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Sight 25 m, lose 30 m, hearing 35 m, squad alert 24 m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 fire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2-4 shot bursts, 1.5-2.25 s recovery, desired range 12 m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4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Attack 3+1; defense 3x2; secure 8 s; breach 20 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28 m/s, boost 36 m/s, 100 fuel, 500 hull, 15 cargo</w:t>
            </w:r>
          </w:p>
        </w:tc>
      </w:tr>
    </w:tbl>
    <w:p>
      <w:pPr>
        <w:spacing w:after="0"/>
      </w:pPr>
    </w:p>
    <w:p>
      <w:pPr>
        <w:pStyle w:val="Heading2"/>
      </w:pPr>
      <w:r>
        <w:t>Appendix B. Canonical First Light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9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662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Map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/Game/BrokenHorizon/Maps/L_FirstLight_Graybox</w:t>
            </w:r>
          </w:p>
        </w:tc>
      </w:tr>
      <w:tr>
        <w:tc>
          <w:tcPr>
            <w:tcW w:type="dxa" w:w="309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Generated actor tag</w:t>
            </w:r>
          </w:p>
        </w:tc>
        <w:tc>
          <w:tcPr>
            <w:tcW w:type="dxa" w:w="662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BH_Auto_FirstLight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Keycard ID / persistence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RedKeycard / FirstLightRedKeycard</w:t>
            </w:r>
          </w:p>
        </w:tc>
      </w:tr>
      <w:tr>
        <w:tc>
          <w:tcPr>
            <w:tcW w:type="dxa" w:w="309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Door persistence</w:t>
            </w:r>
          </w:p>
        </w:tc>
        <w:tc>
          <w:tcPr>
            <w:tcW w:type="dxa" w:w="662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FirstLightSecurityDoor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Objective order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FindRedKeycard &gt; UnlockSecurityDoor &gt; EliminateGuard &gt; ReachExtraction</w:t>
            </w:r>
          </w:p>
        </w:tc>
      </w:tr>
      <w:tr>
        <w:tc>
          <w:tcPr>
            <w:tcW w:type="dxa" w:w="309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Supplies</w:t>
            </w:r>
          </w:p>
        </w:tc>
        <w:tc>
          <w:tcPr>
            <w:tcW w:type="dxa" w:w="662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FirstLightAmmoSupply / FirstLightMedicalSupply</w:t>
            </w:r>
          </w:p>
        </w:tc>
      </w:tr>
    </w:tbl>
    <w:p>
      <w:pPr>
        <w:spacing w:after="0"/>
      </w:pPr>
    </w:p>
    <w:p>
      <w:pPr>
        <w:pStyle w:val="Heading2"/>
      </w:pPr>
      <w:r>
        <w:t>Appendix C. Source Basis</w:t>
      </w:r>
    </w:p>
    <w:p>
      <w:r>
        <w:t>This GDD was synthesized from the current project configuration, source headers and implementations, project automation documentation, and the Operation First Light art-direction package. Numeric values are implementation baselines, not immutable promises. Proposed scope and content breadth require production approval and playtest validation.</w:t>
      </w:r>
    </w:p>
    <w:p>
      <w:pPr>
        <w:pStyle w:val="Heading1"/>
      </w:pPr>
      <w:r>
        <w:t>Module Exit Checklist</w:t>
      </w:r>
    </w:p>
    <w:p>
      <w:pPr>
        <w:pStyle w:val="ListBullet"/>
      </w:pPr>
      <w:r>
        <w:t>The module can be read without another file to understand its owned decisions.</w:t>
      </w:r>
    </w:p>
    <w:p>
      <w:pPr>
        <w:pStyle w:val="ListBullet"/>
      </w:pPr>
      <w:r>
        <w:t>Every external dependency is named in the header and not silently duplicated.</w:t>
      </w:r>
    </w:p>
    <w:p>
      <w:pPr>
        <w:pStyle w:val="ListBullet"/>
      </w:pPr>
      <w:r>
        <w:t>Every published interface uses stable terminology consistent with the master index.</w:t>
      </w:r>
    </w:p>
    <w:p>
      <w:pPr>
        <w:pStyle w:val="ListBullet"/>
      </w:pPr>
      <w:r>
        <w:t>Multiplayer authority, replication, reconnect, and persistence implications are addressed where relevant.</w:t>
      </w:r>
    </w:p>
    <w:p>
      <w:pPr>
        <w:pStyle w:val="ListBullet"/>
      </w:pPr>
      <w:r>
        <w:t>Acceptance criteria are testable and assignable to a discipline.</w:t>
      </w:r>
    </w:p>
    <w:p>
      <w:pPr>
        <w:pStyle w:val="ListBullet"/>
      </w:pPr>
      <w:r>
        <w:t>Changes to objective IDs, persistence IDs, reflected names, paths, or save fields include a consumer audit.</w:t>
      </w:r>
    </w:p>
    <w:p>
      <w:pPr>
        <w:spacing w:before="200"/>
      </w:pPr>
      <w:r>
        <w:rPr>
          <w:b/>
          <w:color w:val="35566E"/>
        </w:rPr>
        <w:t>End of GDD-13  /  Canonical Tuning and Content Contracts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GDD-13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GDD-13 - Canonical Tuning and Content Contracts</dc:title>
  <dc:subject>Separable modular game design document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