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MBFL-0519, HYPOTHECATION FOR VEHICLE NUMBER- CG-06-GU-4862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MBFL-0519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DEVENDRA KUMAR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CG-06-GU-4862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MBLHAW146M9C05055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HA11ES9C04174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24/08/2024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