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MBFL-4143, HYPOTHECATION FOR VEHICLE NUMBER- OD-17-Z-2584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MBFL-4143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HARISH CHANDRA SAHU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OD-17-Z-2584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MBLHAW148NGG13098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HA11ESNGG17674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18/07/2024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