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082CC" w14:textId="77777777" w:rsidR="005075AC" w:rsidRPr="00E047EA" w:rsidRDefault="00000000">
      <w:pPr>
        <w:spacing w:after="20"/>
        <w:jc w:val="center"/>
        <w:rPr>
          <w:sz w:val="48"/>
          <w:szCs w:val="48"/>
        </w:rPr>
      </w:pPr>
      <w:r w:rsidRPr="00E047EA">
        <w:rPr>
          <w:b/>
          <w:bCs/>
          <w:color w:val="1E1B4B"/>
          <w:sz w:val="48"/>
          <w:szCs w:val="48"/>
        </w:rPr>
        <w:t>Customer Churn Analysis Report</w:t>
      </w:r>
    </w:p>
    <w:p w14:paraId="5FB69CCE" w14:textId="77777777" w:rsidR="005075AC" w:rsidRPr="00E047EA" w:rsidRDefault="00000000">
      <w:pPr>
        <w:spacing w:after="60"/>
        <w:jc w:val="center"/>
        <w:rPr>
          <w:sz w:val="22"/>
          <w:szCs w:val="22"/>
        </w:rPr>
      </w:pPr>
      <w:r w:rsidRPr="00E047EA">
        <w:rPr>
          <w:i/>
          <w:iCs/>
          <w:color w:val="6B7280"/>
          <w:sz w:val="22"/>
          <w:szCs w:val="22"/>
        </w:rPr>
        <w:t xml:space="preserve">Telecom </w:t>
      </w:r>
      <w:proofErr w:type="gramStart"/>
      <w:r w:rsidRPr="00E047EA">
        <w:rPr>
          <w:i/>
          <w:iCs/>
          <w:color w:val="6B7280"/>
          <w:sz w:val="22"/>
          <w:szCs w:val="22"/>
        </w:rPr>
        <w:t>Sector  |</w:t>
      </w:r>
      <w:proofErr w:type="gramEnd"/>
      <w:r w:rsidRPr="00E047EA">
        <w:rPr>
          <w:i/>
          <w:iCs/>
          <w:color w:val="6B7280"/>
          <w:sz w:val="22"/>
          <w:szCs w:val="22"/>
        </w:rPr>
        <w:t xml:space="preserve">  2024  |  github.com/</w:t>
      </w:r>
      <w:proofErr w:type="spellStart"/>
      <w:r w:rsidRPr="00E047EA">
        <w:rPr>
          <w:i/>
          <w:iCs/>
          <w:color w:val="6B7280"/>
          <w:sz w:val="22"/>
          <w:szCs w:val="22"/>
        </w:rPr>
        <w:t>TheGopalN</w:t>
      </w:r>
      <w:proofErr w:type="spellEnd"/>
      <w:r w:rsidRPr="00E047EA">
        <w:rPr>
          <w:i/>
          <w:iCs/>
          <w:color w:val="6B7280"/>
          <w:sz w:val="22"/>
          <w:szCs w:val="22"/>
        </w:rPr>
        <w:t>/Customer-Churn-Analysis</w:t>
      </w:r>
    </w:p>
    <w:p w14:paraId="7BAA7CB9" w14:textId="77777777" w:rsidR="005075AC" w:rsidRDefault="005075AC">
      <w:pPr>
        <w:pBdr>
          <w:bottom w:val="single" w:sz="8" w:space="1" w:color="4F46E5"/>
        </w:pBdr>
        <w:spacing w:after="8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2045"/>
        <w:gridCol w:w="2045"/>
        <w:gridCol w:w="2045"/>
        <w:gridCol w:w="2045"/>
      </w:tblGrid>
      <w:tr w:rsidR="005075AC" w14:paraId="7861CFFB" w14:textId="77777777">
        <w:tblPrEx>
          <w:tblCellMar>
            <w:top w:w="0" w:type="dxa"/>
            <w:bottom w:w="0" w:type="dxa"/>
          </w:tblCellMar>
        </w:tblPrEx>
        <w:tc>
          <w:tcPr>
            <w:tcW w:w="2044" w:type="dxa"/>
            <w:tcBorders>
              <w:top w:val="single" w:sz="8" w:space="0" w:color="4F46E5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67FC901" w14:textId="77777777" w:rsidR="005075AC" w:rsidRDefault="00000000">
            <w:pPr>
              <w:spacing w:after="10"/>
              <w:jc w:val="center"/>
            </w:pPr>
            <w:r>
              <w:rPr>
                <w:b/>
                <w:bCs/>
                <w:color w:val="1E1B4B"/>
                <w:sz w:val="28"/>
                <w:szCs w:val="28"/>
              </w:rPr>
              <w:t>7,032</w:t>
            </w:r>
          </w:p>
          <w:p w14:paraId="7F4F18AE" w14:textId="77777777" w:rsidR="005075AC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Total Customers</w:t>
            </w:r>
          </w:p>
        </w:tc>
        <w:tc>
          <w:tcPr>
            <w:tcW w:w="2044" w:type="dxa"/>
            <w:tcBorders>
              <w:top w:val="single" w:sz="8" w:space="0" w:color="4F46E5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72CBF1" w14:textId="77777777" w:rsidR="005075AC" w:rsidRDefault="00000000">
            <w:pPr>
              <w:spacing w:after="10"/>
              <w:jc w:val="center"/>
            </w:pPr>
            <w:r>
              <w:rPr>
                <w:b/>
                <w:bCs/>
                <w:color w:val="1E1B4B"/>
                <w:sz w:val="28"/>
                <w:szCs w:val="28"/>
              </w:rPr>
              <w:t>1,869</w:t>
            </w:r>
          </w:p>
          <w:p w14:paraId="0706926E" w14:textId="77777777" w:rsidR="005075AC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Churned</w:t>
            </w:r>
          </w:p>
        </w:tc>
        <w:tc>
          <w:tcPr>
            <w:tcW w:w="2044" w:type="dxa"/>
            <w:tcBorders>
              <w:top w:val="single" w:sz="8" w:space="0" w:color="4F46E5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2C2A14" w14:textId="77777777" w:rsidR="005075AC" w:rsidRDefault="00000000">
            <w:pPr>
              <w:spacing w:after="10"/>
              <w:jc w:val="center"/>
            </w:pPr>
            <w:r>
              <w:rPr>
                <w:b/>
                <w:bCs/>
                <w:color w:val="1E1B4B"/>
                <w:sz w:val="28"/>
                <w:szCs w:val="28"/>
              </w:rPr>
              <w:t>26.58%</w:t>
            </w:r>
          </w:p>
          <w:p w14:paraId="135709E0" w14:textId="77777777" w:rsidR="005075AC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Churn Rate</w:t>
            </w:r>
          </w:p>
        </w:tc>
        <w:tc>
          <w:tcPr>
            <w:tcW w:w="2044" w:type="dxa"/>
            <w:tcBorders>
              <w:top w:val="single" w:sz="8" w:space="0" w:color="4F46E5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228A3B" w14:textId="77777777" w:rsidR="005075AC" w:rsidRDefault="00000000">
            <w:pPr>
              <w:spacing w:after="10"/>
              <w:jc w:val="center"/>
            </w:pPr>
            <w:r>
              <w:rPr>
                <w:b/>
                <w:bCs/>
                <w:color w:val="1E1B4B"/>
                <w:sz w:val="28"/>
                <w:szCs w:val="28"/>
              </w:rPr>
              <w:t>$139.13K</w:t>
            </w:r>
          </w:p>
          <w:p w14:paraId="011DA13A" w14:textId="77777777" w:rsidR="005075AC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Revenue Lost</w:t>
            </w:r>
          </w:p>
        </w:tc>
        <w:tc>
          <w:tcPr>
            <w:tcW w:w="2044" w:type="dxa"/>
            <w:tcBorders>
              <w:top w:val="single" w:sz="8" w:space="0" w:color="4F46E5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BECC7D" w14:textId="77777777" w:rsidR="005075AC" w:rsidRDefault="00000000">
            <w:pPr>
              <w:spacing w:after="10"/>
              <w:jc w:val="center"/>
            </w:pPr>
            <w:r>
              <w:rPr>
                <w:b/>
                <w:bCs/>
                <w:color w:val="1E1B4B"/>
                <w:sz w:val="28"/>
                <w:szCs w:val="28"/>
              </w:rPr>
              <w:t>73.42%</w:t>
            </w:r>
          </w:p>
          <w:p w14:paraId="7AB7CDDF" w14:textId="77777777" w:rsidR="005075AC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Retention Rate</w:t>
            </w:r>
          </w:p>
        </w:tc>
      </w:tr>
    </w:tbl>
    <w:p w14:paraId="5B74C6A5" w14:textId="77777777" w:rsidR="005075AC" w:rsidRPr="00E047EA" w:rsidRDefault="00000000">
      <w:pPr>
        <w:spacing w:before="120" w:after="40"/>
        <w:rPr>
          <w:sz w:val="22"/>
          <w:szCs w:val="22"/>
        </w:rPr>
      </w:pPr>
      <w:r w:rsidRPr="00E047EA">
        <w:rPr>
          <w:b/>
          <w:bCs/>
          <w:color w:val="1E1B4B"/>
          <w:sz w:val="32"/>
          <w:szCs w:val="32"/>
        </w:rPr>
        <w:t>Executive Summary</w:t>
      </w:r>
    </w:p>
    <w:p w14:paraId="29F58887" w14:textId="77777777" w:rsidR="005075AC" w:rsidRDefault="005075AC">
      <w:pPr>
        <w:pBdr>
          <w:bottom w:val="single" w:sz="5" w:space="1" w:color="C7D2FE"/>
        </w:pBdr>
        <w:spacing w:before="40" w:after="40"/>
      </w:pPr>
    </w:p>
    <w:p w14:paraId="4B835BB0" w14:textId="77777777" w:rsidR="005075AC" w:rsidRPr="00E047EA" w:rsidRDefault="00000000">
      <w:pPr>
        <w:spacing w:before="40" w:after="40"/>
        <w:rPr>
          <w:sz w:val="21"/>
          <w:szCs w:val="21"/>
        </w:rPr>
      </w:pPr>
      <w:r w:rsidRPr="00E047EA">
        <w:rPr>
          <w:color w:val="374151"/>
          <w:sz w:val="21"/>
          <w:szCs w:val="21"/>
        </w:rPr>
        <w:t xml:space="preserve">This report analyses customer churn behaviour across 7,032 telecom subscribers. With a 26.58% churn rate and $139K in lost monthly revenue, retention is a critical business priority. Key risk factors include month-to-month contracts, </w:t>
      </w:r>
      <w:proofErr w:type="spellStart"/>
      <w:r w:rsidRPr="00E047EA">
        <w:rPr>
          <w:color w:val="374151"/>
          <w:sz w:val="21"/>
          <w:szCs w:val="21"/>
        </w:rPr>
        <w:t>fiber</w:t>
      </w:r>
      <w:proofErr w:type="spellEnd"/>
      <w:r w:rsidRPr="00E047EA">
        <w:rPr>
          <w:color w:val="374151"/>
          <w:sz w:val="21"/>
          <w:szCs w:val="21"/>
        </w:rPr>
        <w:t xml:space="preserve"> optic service, electronic check payment, and short tenure. The analysis covers three dashboards and concludes with six actionable recommendations.</w:t>
      </w:r>
    </w:p>
    <w:p w14:paraId="09615512" w14:textId="77777777" w:rsidR="005075AC" w:rsidRDefault="00000000">
      <w:pPr>
        <w:spacing w:before="120" w:after="40"/>
      </w:pPr>
      <w:r>
        <w:rPr>
          <w:b/>
          <w:bCs/>
          <w:color w:val="1E1B4B"/>
          <w:sz w:val="24"/>
          <w:szCs w:val="24"/>
        </w:rPr>
        <w:t>1. Overview Dashboard</w:t>
      </w:r>
    </w:p>
    <w:p w14:paraId="760936C1" w14:textId="77777777" w:rsidR="005075AC" w:rsidRDefault="005075AC">
      <w:pPr>
        <w:pBdr>
          <w:bottom w:val="single" w:sz="5" w:space="1" w:color="C7D2FE"/>
        </w:pBdr>
        <w:spacing w:before="40" w:after="40"/>
      </w:pPr>
    </w:p>
    <w:p w14:paraId="5A867230" w14:textId="77777777" w:rsidR="005075AC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928B6C8" wp14:editId="39F8F584">
            <wp:extent cx="676275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80D0" w14:textId="77777777" w:rsidR="005075AC" w:rsidRPr="00E047EA" w:rsidRDefault="00000000">
      <w:pPr>
        <w:spacing w:before="40" w:after="40"/>
        <w:rPr>
          <w:sz w:val="21"/>
          <w:szCs w:val="21"/>
        </w:rPr>
      </w:pPr>
      <w:r w:rsidRPr="00E047EA">
        <w:rPr>
          <w:color w:val="374151"/>
          <w:sz w:val="21"/>
          <w:szCs w:val="21"/>
        </w:rPr>
        <w:t>Month-to-month contracts account for 1,655 of 1,869 churned customers. New customers (0–12 months) churn at 48%, falling to 10% at 49+ months — making the first year the most critical retention window.</w:t>
      </w:r>
    </w:p>
    <w:p w14:paraId="5075A28C" w14:textId="77777777" w:rsidR="005075AC" w:rsidRPr="00E047EA" w:rsidRDefault="00000000">
      <w:pPr>
        <w:spacing w:before="120" w:after="40"/>
        <w:rPr>
          <w:sz w:val="22"/>
          <w:szCs w:val="22"/>
        </w:rPr>
      </w:pPr>
      <w:r w:rsidRPr="00E047EA">
        <w:rPr>
          <w:b/>
          <w:bCs/>
          <w:color w:val="1E1B4B"/>
          <w:sz w:val="32"/>
          <w:szCs w:val="32"/>
        </w:rPr>
        <w:t>2. Key Findings at a Glance</w:t>
      </w:r>
    </w:p>
    <w:p w14:paraId="4BE9BFC8" w14:textId="77777777" w:rsidR="005075AC" w:rsidRDefault="005075AC">
      <w:pPr>
        <w:pBdr>
          <w:bottom w:val="single" w:sz="5" w:space="1" w:color="C7D2FE"/>
        </w:pBdr>
        <w:spacing w:before="40" w:after="4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824"/>
      </w:tblGrid>
      <w:tr w:rsidR="005075AC" w14:paraId="33B9E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3D36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Contract Type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2D7E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>Month-to-month: 43% churn · One year: 11% · Two year: 3% — contract length is the single strongest predictor of retention.</w:t>
            </w:r>
          </w:p>
        </w:tc>
      </w:tr>
      <w:tr w:rsidR="005075AC" w14:paraId="7910A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D2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C3F6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Internet Service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BB63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>Fiber optic: 42% churn — more than twice the DSL rate (19%) despite carrying the highest monthly fees.</w:t>
            </w:r>
          </w:p>
        </w:tc>
      </w:tr>
      <w:tr w:rsidR="005075AC" w14:paraId="4687F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8160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Payment Method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08A1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>Electronic check: 45% churn · Auto-pay (bank transfer / credit card): 15–17% churn — a 28pp gap from friction alone.</w:t>
            </w:r>
          </w:p>
        </w:tc>
      </w:tr>
      <w:tr w:rsidR="005075AC" w14:paraId="50D21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D2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897C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Tenure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45F1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>0–12 months: 48% · 13–24 months: 29% · 25–48 months: 20% · 49+ months: 10% — loyalty compounds over time.</w:t>
            </w:r>
          </w:p>
        </w:tc>
      </w:tr>
      <w:tr w:rsidR="005075AC" w14:paraId="511BB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90C2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Senior Citizens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17E7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>Senior customers (Yes) make up 63.8% of churned customers — age-specific needs are not being met.</w:t>
            </w:r>
          </w:p>
        </w:tc>
      </w:tr>
      <w:tr w:rsidR="005075AC" w14:paraId="3A7346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D2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AE9C" w14:textId="77777777" w:rsidR="005075AC" w:rsidRDefault="00000000">
            <w:r>
              <w:rPr>
                <w:b/>
                <w:bCs/>
                <w:color w:val="FFFFFF"/>
                <w:sz w:val="17"/>
                <w:szCs w:val="17"/>
              </w:rPr>
              <w:t>Monthly Charges</w:t>
            </w:r>
          </w:p>
        </w:tc>
        <w:tc>
          <w:tcPr>
            <w:tcW w:w="782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6EA2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1F2937"/>
                <w:sz w:val="21"/>
                <w:szCs w:val="21"/>
              </w:rPr>
              <w:t xml:space="preserve">Churned customers </w:t>
            </w:r>
            <w:proofErr w:type="spellStart"/>
            <w:r w:rsidRPr="00E047EA">
              <w:rPr>
                <w:color w:val="1F2937"/>
                <w:sz w:val="21"/>
                <w:szCs w:val="21"/>
              </w:rPr>
              <w:t>avg</w:t>
            </w:r>
            <w:proofErr w:type="spellEnd"/>
            <w:r w:rsidRPr="00E047EA">
              <w:rPr>
                <w:color w:val="1F2937"/>
                <w:sz w:val="21"/>
                <w:szCs w:val="21"/>
              </w:rPr>
              <w:t xml:space="preserve"> $74/month vs $61 for retained — higher-paying customers are more likely to leave.</w:t>
            </w:r>
          </w:p>
        </w:tc>
      </w:tr>
    </w:tbl>
    <w:p w14:paraId="73644389" w14:textId="77777777" w:rsidR="005075AC" w:rsidRDefault="00000000">
      <w:r>
        <w:br w:type="page"/>
      </w:r>
    </w:p>
    <w:p w14:paraId="687FD0F5" w14:textId="77777777" w:rsidR="005075AC" w:rsidRDefault="00000000">
      <w:pPr>
        <w:spacing w:after="60"/>
        <w:jc w:val="center"/>
      </w:pPr>
      <w:r>
        <w:rPr>
          <w:b/>
          <w:bCs/>
          <w:color w:val="1E1B4B"/>
          <w:sz w:val="32"/>
          <w:szCs w:val="32"/>
        </w:rPr>
        <w:lastRenderedPageBreak/>
        <w:t>Churn Drivers &amp; Strategic Recommendations</w:t>
      </w:r>
    </w:p>
    <w:p w14:paraId="0A804051" w14:textId="77777777" w:rsidR="005075AC" w:rsidRDefault="005075AC">
      <w:pPr>
        <w:pBdr>
          <w:bottom w:val="single" w:sz="8" w:space="1" w:color="4F46E5"/>
        </w:pBdr>
        <w:spacing w:after="80"/>
      </w:pPr>
    </w:p>
    <w:p w14:paraId="753019D2" w14:textId="77777777" w:rsidR="005075AC" w:rsidRDefault="00000000">
      <w:pPr>
        <w:spacing w:before="120" w:after="40"/>
      </w:pPr>
      <w:r>
        <w:rPr>
          <w:b/>
          <w:bCs/>
          <w:color w:val="1E1B4B"/>
          <w:sz w:val="24"/>
          <w:szCs w:val="24"/>
        </w:rPr>
        <w:t>3. Churn Drivers &amp; Customer Profile Dashboards</w:t>
      </w:r>
    </w:p>
    <w:p w14:paraId="515B888C" w14:textId="77777777" w:rsidR="005075AC" w:rsidRDefault="005075AC">
      <w:pPr>
        <w:pBdr>
          <w:bottom w:val="single" w:sz="5" w:space="1" w:color="C7D2FE"/>
        </w:pBdr>
        <w:spacing w:before="40" w:after="40"/>
      </w:pPr>
    </w:p>
    <w:tbl>
      <w:tblPr>
        <w:tblW w:w="10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0"/>
        <w:gridCol w:w="5250"/>
      </w:tblGrid>
      <w:tr w:rsidR="005075AC" w14:paraId="5529B5EB" w14:textId="77777777" w:rsidTr="00E047EA">
        <w:tblPrEx>
          <w:tblCellMar>
            <w:top w:w="0" w:type="dxa"/>
            <w:bottom w:w="0" w:type="dxa"/>
          </w:tblCellMar>
        </w:tblPrEx>
        <w:trPr>
          <w:trHeight w:val="4918"/>
        </w:trPr>
        <w:tc>
          <w:tcPr>
            <w:tcW w:w="523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F92350E" w14:textId="77777777" w:rsidR="005075AC" w:rsidRPr="00E047EA" w:rsidRDefault="00000000">
            <w:pPr>
              <w:spacing w:after="20"/>
              <w:jc w:val="center"/>
              <w:rPr>
                <w:sz w:val="24"/>
                <w:szCs w:val="24"/>
              </w:rPr>
            </w:pPr>
            <w:r w:rsidRPr="00E047EA">
              <w:rPr>
                <w:b/>
                <w:bCs/>
                <w:color w:val="4F46E5"/>
                <w:sz w:val="24"/>
                <w:szCs w:val="24"/>
              </w:rPr>
              <w:t>Churn Drivers</w:t>
            </w:r>
          </w:p>
          <w:p w14:paraId="670A3DE3" w14:textId="77777777" w:rsidR="005075AC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EEFA125" wp14:editId="73EBAFEB">
                  <wp:extent cx="3295650" cy="22631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52B93" w14:textId="77777777" w:rsidR="005075AC" w:rsidRPr="00E047EA" w:rsidRDefault="00000000">
            <w:pPr>
              <w:rPr>
                <w:sz w:val="21"/>
                <w:szCs w:val="21"/>
              </w:rPr>
            </w:pPr>
            <w:r w:rsidRPr="00E047EA">
              <w:rPr>
                <w:color w:val="374151"/>
                <w:sz w:val="21"/>
                <w:szCs w:val="21"/>
              </w:rPr>
              <w:t>Fiber optic (42%), month-to-month (43%) and electronic check (45%) are the three highest-risk combinations. Senior citizens (63.8% of churned) and new customers (48% in yr 1) are the most vulnerable segments.</w:t>
            </w:r>
          </w:p>
        </w:tc>
        <w:tc>
          <w:tcPr>
            <w:tcW w:w="5238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E954E69" w14:textId="77777777" w:rsidR="005075AC" w:rsidRPr="00E047EA" w:rsidRDefault="00000000">
            <w:pPr>
              <w:spacing w:after="20"/>
              <w:jc w:val="center"/>
              <w:rPr>
                <w:sz w:val="24"/>
                <w:szCs w:val="24"/>
              </w:rPr>
            </w:pPr>
            <w:r w:rsidRPr="00E047EA">
              <w:rPr>
                <w:b/>
                <w:bCs/>
                <w:color w:val="4F46E5"/>
                <w:sz w:val="24"/>
                <w:szCs w:val="24"/>
              </w:rPr>
              <w:t>High-Risk Customer Profile</w:t>
            </w:r>
          </w:p>
          <w:p w14:paraId="70EE1232" w14:textId="77777777" w:rsidR="005075AC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9323AA" wp14:editId="0E250DBD">
                  <wp:extent cx="3295650" cy="22021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CF256" w14:textId="77777777" w:rsidR="005075AC" w:rsidRPr="00E047EA" w:rsidRDefault="00000000" w:rsidP="00E047EA">
            <w:pPr>
              <w:spacing w:before="40" w:after="40"/>
              <w:rPr>
                <w:sz w:val="21"/>
                <w:szCs w:val="21"/>
              </w:rPr>
            </w:pPr>
            <w:r w:rsidRPr="00E047EA">
              <w:rPr>
                <w:color w:val="374151"/>
                <w:sz w:val="21"/>
                <w:szCs w:val="21"/>
              </w:rPr>
              <w:t xml:space="preserve">1,994 high-risk customers · </w:t>
            </w:r>
            <w:proofErr w:type="spellStart"/>
            <w:r w:rsidRPr="00E047EA">
              <w:rPr>
                <w:color w:val="374151"/>
                <w:sz w:val="21"/>
                <w:szCs w:val="21"/>
              </w:rPr>
              <w:t>Avg</w:t>
            </w:r>
            <w:proofErr w:type="spellEnd"/>
            <w:r w:rsidRPr="00E047EA">
              <w:rPr>
                <w:color w:val="374151"/>
                <w:sz w:val="21"/>
                <w:szCs w:val="21"/>
              </w:rPr>
              <w:t xml:space="preserve"> charge $64.80 · </w:t>
            </w:r>
            <w:proofErr w:type="spellStart"/>
            <w:r w:rsidRPr="00E047EA">
              <w:rPr>
                <w:color w:val="374151"/>
                <w:sz w:val="21"/>
                <w:szCs w:val="21"/>
              </w:rPr>
              <w:t>Avg</w:t>
            </w:r>
            <w:proofErr w:type="spellEnd"/>
            <w:r w:rsidRPr="00E047EA">
              <w:rPr>
                <w:color w:val="374151"/>
                <w:sz w:val="21"/>
                <w:szCs w:val="21"/>
              </w:rPr>
              <w:t xml:space="preserve"> CLV $2.28K. No tech support = 42% churn vs 15% with it. No partner = 33% churn vs 20%. No dependents = 33% vs 7%.</w:t>
            </w:r>
          </w:p>
        </w:tc>
      </w:tr>
    </w:tbl>
    <w:p w14:paraId="3C34C8C5" w14:textId="77777777" w:rsidR="005075AC" w:rsidRDefault="00000000">
      <w:pPr>
        <w:spacing w:before="120" w:after="40"/>
      </w:pPr>
      <w:r>
        <w:rPr>
          <w:b/>
          <w:bCs/>
          <w:color w:val="1E1B4B"/>
          <w:sz w:val="24"/>
          <w:szCs w:val="24"/>
        </w:rPr>
        <w:t>4. Strategic Recommendations</w:t>
      </w:r>
    </w:p>
    <w:p w14:paraId="50070395" w14:textId="77777777" w:rsidR="005075AC" w:rsidRDefault="005075AC">
      <w:pPr>
        <w:pBdr>
          <w:bottom w:val="single" w:sz="5" w:space="1" w:color="C7D2FE"/>
        </w:pBdr>
        <w:spacing w:before="40" w:after="4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4464"/>
        <w:gridCol w:w="4080"/>
      </w:tblGrid>
      <w:tr w:rsidR="005075AC" w14:paraId="59014AD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1590D" w14:textId="77777777" w:rsidR="005075A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20D1A" w14:textId="77777777" w:rsidR="005075A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1B4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DA64B" w14:textId="77777777" w:rsidR="005075A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Impact</w:t>
            </w:r>
          </w:p>
        </w:tc>
      </w:tr>
      <w:tr w:rsidR="005075AC" w14:paraId="07FD3C8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1BBEE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🔴 Critical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3636A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Contract upgrade campaign — offer discounted 1- or 2-year plans to month-to-month customers with personalised outreach.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9BE11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30–40% churn reduction in largest segment (1,655 churners)</w:t>
            </w:r>
          </w:p>
        </w:tc>
      </w:tr>
      <w:tr w:rsidR="005075AC" w14:paraId="3412383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7391F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🔴 Critical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71CD6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 xml:space="preserve">Audit </w:t>
            </w:r>
            <w:proofErr w:type="spellStart"/>
            <w:r w:rsidRPr="00E047EA">
              <w:rPr>
                <w:color w:val="374151"/>
                <w:sz w:val="20"/>
                <w:szCs w:val="20"/>
              </w:rPr>
              <w:t>fiber</w:t>
            </w:r>
            <w:proofErr w:type="spellEnd"/>
            <w:r w:rsidRPr="00E047EA">
              <w:rPr>
                <w:color w:val="374151"/>
                <w:sz w:val="20"/>
                <w:szCs w:val="20"/>
              </w:rPr>
              <w:t xml:space="preserve"> optic quality; add SLA guarantees and loyalty credits for high-paying </w:t>
            </w:r>
            <w:proofErr w:type="spellStart"/>
            <w:r w:rsidRPr="00E047EA">
              <w:rPr>
                <w:color w:val="374151"/>
                <w:sz w:val="20"/>
                <w:szCs w:val="20"/>
              </w:rPr>
              <w:t>fiber</w:t>
            </w:r>
            <w:proofErr w:type="spellEnd"/>
            <w:r w:rsidRPr="00E047EA">
              <w:rPr>
                <w:color w:val="374151"/>
                <w:sz w:val="20"/>
                <w:szCs w:val="20"/>
              </w:rPr>
              <w:t xml:space="preserve"> subscribers.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A1347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 xml:space="preserve">Bring </w:t>
            </w:r>
            <w:proofErr w:type="spellStart"/>
            <w:r w:rsidRPr="00E047EA">
              <w:rPr>
                <w:color w:val="374151"/>
                <w:sz w:val="20"/>
                <w:szCs w:val="20"/>
              </w:rPr>
              <w:t>fiber</w:t>
            </w:r>
            <w:proofErr w:type="spellEnd"/>
            <w:r w:rsidRPr="00E047EA">
              <w:rPr>
                <w:color w:val="374151"/>
                <w:sz w:val="20"/>
                <w:szCs w:val="20"/>
              </w:rPr>
              <w:t xml:space="preserve"> churn from 42% toward DSL levels (~19%)</w:t>
            </w:r>
          </w:p>
        </w:tc>
      </w:tr>
      <w:tr w:rsidR="005075AC" w14:paraId="4482C324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2D937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🟠 High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3E0E9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Incentivise switch from electronic check to auto-pay with billing discounts or one-month credit.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7FA87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Cut payment-method churn from 45% to ~15–17%</w:t>
            </w:r>
          </w:p>
        </w:tc>
      </w:tr>
      <w:tr w:rsidR="005075AC" w14:paraId="5DA6704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51B76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🟠 High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B6078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Strengthen 0–</w:t>
            </w:r>
            <w:proofErr w:type="gramStart"/>
            <w:r w:rsidRPr="00E047EA">
              <w:rPr>
                <w:color w:val="374151"/>
                <w:sz w:val="20"/>
                <w:szCs w:val="20"/>
              </w:rPr>
              <w:t>12 month</w:t>
            </w:r>
            <w:proofErr w:type="gramEnd"/>
            <w:r w:rsidRPr="00E047EA">
              <w:rPr>
                <w:color w:val="374151"/>
                <w:sz w:val="20"/>
                <w:szCs w:val="20"/>
              </w:rPr>
              <w:t xml:space="preserve"> onboarding: proactive check-ins, free tech support trial, first-year loyalty rewards.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0DD4C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New-customer churn from 48% toward 29% (yr 2 band)</w:t>
            </w:r>
          </w:p>
        </w:tc>
      </w:tr>
      <w:tr w:rsidR="005075AC" w14:paraId="3B47525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DE1BB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🟡 Medium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99487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Bundle tech support into standard plans or provide free 3-month trials for customers currently without it.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3F7D4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Tech support linked to 27pp lower churn (42% → 15%)</w:t>
            </w:r>
          </w:p>
        </w:tc>
      </w:tr>
      <w:tr w:rsidR="005075AC" w14:paraId="54C7A69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F852A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1F2937"/>
                <w:sz w:val="20"/>
                <w:szCs w:val="20"/>
              </w:rPr>
              <w:t>🟡 Medium</w:t>
            </w:r>
          </w:p>
        </w:tc>
        <w:tc>
          <w:tcPr>
            <w:tcW w:w="4464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46BC2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Target single / no-dependent customers with value-add bundles in the first 6-month risk window.</w:t>
            </w:r>
          </w:p>
        </w:tc>
        <w:tc>
          <w:tcPr>
            <w:tcW w:w="40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6C09A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Close the 26pp churn gap vs customers with dependents</w:t>
            </w:r>
          </w:p>
        </w:tc>
      </w:tr>
    </w:tbl>
    <w:p w14:paraId="0A4ED61C" w14:textId="77777777" w:rsidR="005075AC" w:rsidRDefault="005075AC">
      <w:pPr>
        <w:spacing w:before="10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075AC" w14:paraId="594E5B30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7" w:space="0" w:color="4F46E5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8AF31" w14:textId="77777777" w:rsidR="005075AC" w:rsidRPr="00E047EA" w:rsidRDefault="00000000">
            <w:pPr>
              <w:spacing w:after="30"/>
              <w:rPr>
                <w:sz w:val="20"/>
                <w:szCs w:val="20"/>
              </w:rPr>
            </w:pPr>
            <w:r w:rsidRPr="00E047EA">
              <w:rPr>
                <w:b/>
                <w:bCs/>
                <w:color w:val="4F46E5"/>
                <w:sz w:val="20"/>
                <w:szCs w:val="20"/>
              </w:rPr>
              <w:t>Revenue Recovery Potential</w:t>
            </w:r>
          </w:p>
          <w:p w14:paraId="69E5950F" w14:textId="77777777" w:rsidR="005075AC" w:rsidRPr="00E047EA" w:rsidRDefault="00000000">
            <w:pPr>
              <w:rPr>
                <w:sz w:val="20"/>
                <w:szCs w:val="20"/>
              </w:rPr>
            </w:pPr>
            <w:r w:rsidRPr="00E047EA">
              <w:rPr>
                <w:color w:val="1F2937"/>
                <w:sz w:val="20"/>
                <w:szCs w:val="20"/>
              </w:rPr>
              <w:t xml:space="preserve">Retaining 20% of the 1,994 high-risk customers at </w:t>
            </w:r>
            <w:proofErr w:type="spellStart"/>
            <w:r w:rsidRPr="00E047EA">
              <w:rPr>
                <w:color w:val="1F2937"/>
                <w:sz w:val="20"/>
                <w:szCs w:val="20"/>
              </w:rPr>
              <w:t>avg</w:t>
            </w:r>
            <w:proofErr w:type="spellEnd"/>
            <w:r w:rsidRPr="00E047EA">
              <w:rPr>
                <w:color w:val="1F2937"/>
                <w:sz w:val="20"/>
                <w:szCs w:val="20"/>
              </w:rPr>
              <w:t xml:space="preserve"> CLV $2.28K = ~$908K recovered annually.</w:t>
            </w:r>
          </w:p>
        </w:tc>
        <w:tc>
          <w:tcPr>
            <w:tcW w:w="3408" w:type="dxa"/>
            <w:tcBorders>
              <w:top w:val="single" w:sz="7" w:space="0" w:color="DC2626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44B60" w14:textId="77777777" w:rsidR="005075AC" w:rsidRPr="00E047EA" w:rsidRDefault="00000000" w:rsidP="00E047EA">
            <w:pPr>
              <w:spacing w:before="40" w:after="40"/>
              <w:rPr>
                <w:b/>
                <w:bCs/>
                <w:color w:val="FF0000"/>
                <w:sz w:val="20"/>
                <w:szCs w:val="20"/>
              </w:rPr>
            </w:pPr>
            <w:r w:rsidRPr="00E047EA">
              <w:rPr>
                <w:b/>
                <w:bCs/>
                <w:color w:val="FF0000"/>
                <w:sz w:val="20"/>
                <w:szCs w:val="20"/>
              </w:rPr>
              <w:t>Quick Win</w:t>
            </w:r>
          </w:p>
          <w:p w14:paraId="7F1C5D11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Moving just 10% of electronic check users to auto-pay could prevent ~45 churns/month with minimal cost.</w:t>
            </w:r>
          </w:p>
        </w:tc>
        <w:tc>
          <w:tcPr>
            <w:tcW w:w="3408" w:type="dxa"/>
            <w:tcBorders>
              <w:top w:val="single" w:sz="7" w:space="0" w:color="4F46E5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EF2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B420B" w14:textId="77777777" w:rsidR="005075AC" w:rsidRPr="00E047EA" w:rsidRDefault="00000000" w:rsidP="00E047EA">
            <w:pPr>
              <w:spacing w:before="40" w:after="40"/>
              <w:rPr>
                <w:b/>
                <w:bCs/>
                <w:color w:val="FF0000"/>
                <w:sz w:val="20"/>
                <w:szCs w:val="20"/>
              </w:rPr>
            </w:pPr>
            <w:r w:rsidRPr="00E047EA">
              <w:rPr>
                <w:b/>
                <w:bCs/>
                <w:color w:val="FF0000"/>
                <w:sz w:val="20"/>
                <w:szCs w:val="20"/>
              </w:rPr>
              <w:t>Long-term</w:t>
            </w:r>
          </w:p>
          <w:p w14:paraId="5C919D5A" w14:textId="77777777" w:rsidR="005075AC" w:rsidRPr="00E047EA" w:rsidRDefault="00000000" w:rsidP="00E047EA">
            <w:pPr>
              <w:spacing w:before="40" w:after="40"/>
              <w:rPr>
                <w:color w:val="374151"/>
                <w:sz w:val="20"/>
                <w:szCs w:val="20"/>
              </w:rPr>
            </w:pPr>
            <w:r w:rsidRPr="00E047EA">
              <w:rPr>
                <w:color w:val="374151"/>
                <w:sz w:val="20"/>
                <w:szCs w:val="20"/>
              </w:rPr>
              <w:t>Each customer retained past 48 months has a 90% retention rate — investing in loyalty pays compounding dividends.</w:t>
            </w:r>
          </w:p>
        </w:tc>
      </w:tr>
    </w:tbl>
    <w:p w14:paraId="2E0D23F2" w14:textId="0004E923" w:rsidR="005075AC" w:rsidRPr="00E047EA" w:rsidRDefault="00000000" w:rsidP="00E047EA">
      <w:pPr>
        <w:pBdr>
          <w:top w:val="single" w:sz="4" w:space="6" w:color="C7D2FE"/>
        </w:pBdr>
        <w:spacing w:before="80"/>
        <w:rPr>
          <w:b/>
          <w:bCs/>
          <w:sz w:val="24"/>
          <w:szCs w:val="24"/>
        </w:rPr>
      </w:pPr>
      <w:r w:rsidRPr="00E047EA">
        <w:rPr>
          <w:b/>
          <w:bCs/>
          <w:color w:val="6B7280"/>
          <w:sz w:val="24"/>
          <w:szCs w:val="24"/>
        </w:rPr>
        <w:t xml:space="preserve">Customer Churn Analysis </w:t>
      </w:r>
      <w:proofErr w:type="gramStart"/>
      <w:r w:rsidRPr="00E047EA">
        <w:rPr>
          <w:b/>
          <w:bCs/>
          <w:color w:val="6B7280"/>
          <w:sz w:val="24"/>
          <w:szCs w:val="24"/>
        </w:rPr>
        <w:t>·  github.com</w:t>
      </w:r>
      <w:proofErr w:type="gramEnd"/>
      <w:r w:rsidRPr="00E047EA">
        <w:rPr>
          <w:b/>
          <w:bCs/>
          <w:color w:val="6B7280"/>
          <w:sz w:val="24"/>
          <w:szCs w:val="24"/>
        </w:rPr>
        <w:t>/</w:t>
      </w:r>
      <w:proofErr w:type="spellStart"/>
      <w:r w:rsidRPr="00E047EA">
        <w:rPr>
          <w:b/>
          <w:bCs/>
          <w:color w:val="6B7280"/>
          <w:sz w:val="24"/>
          <w:szCs w:val="24"/>
        </w:rPr>
        <w:t>TheGopalN</w:t>
      </w:r>
      <w:proofErr w:type="spellEnd"/>
      <w:r w:rsidRPr="00E047EA">
        <w:rPr>
          <w:b/>
          <w:bCs/>
          <w:color w:val="6B7280"/>
          <w:sz w:val="24"/>
          <w:szCs w:val="24"/>
        </w:rPr>
        <w:t>/Customer-Churn-Analysis  ·  2024</w:t>
      </w:r>
    </w:p>
    <w:sectPr w:rsidR="005075AC" w:rsidRPr="00E047EA" w:rsidSect="00E047EA">
      <w:pgSz w:w="12240" w:h="15840"/>
      <w:pgMar w:top="142" w:right="1008" w:bottom="14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07AD4"/>
    <w:multiLevelType w:val="hybridMultilevel"/>
    <w:tmpl w:val="B5F04596"/>
    <w:lvl w:ilvl="0" w:tplc="DE90CBA8">
      <w:start w:val="1"/>
      <w:numFmt w:val="bullet"/>
      <w:lvlText w:val="•"/>
      <w:lvlJc w:val="left"/>
      <w:pPr>
        <w:ind w:left="440" w:hanging="260"/>
      </w:pPr>
    </w:lvl>
    <w:lvl w:ilvl="1" w:tplc="A4223230">
      <w:numFmt w:val="decimal"/>
      <w:lvlText w:val=""/>
      <w:lvlJc w:val="left"/>
    </w:lvl>
    <w:lvl w:ilvl="2" w:tplc="DECAA71A">
      <w:numFmt w:val="decimal"/>
      <w:lvlText w:val=""/>
      <w:lvlJc w:val="left"/>
    </w:lvl>
    <w:lvl w:ilvl="3" w:tplc="36F6D8B8">
      <w:numFmt w:val="decimal"/>
      <w:lvlText w:val=""/>
      <w:lvlJc w:val="left"/>
    </w:lvl>
    <w:lvl w:ilvl="4" w:tplc="AB0EDD72">
      <w:numFmt w:val="decimal"/>
      <w:lvlText w:val=""/>
      <w:lvlJc w:val="left"/>
    </w:lvl>
    <w:lvl w:ilvl="5" w:tplc="FF4A67C8">
      <w:numFmt w:val="decimal"/>
      <w:lvlText w:val=""/>
      <w:lvlJc w:val="left"/>
    </w:lvl>
    <w:lvl w:ilvl="6" w:tplc="C8EEDFFE">
      <w:numFmt w:val="decimal"/>
      <w:lvlText w:val=""/>
      <w:lvlJc w:val="left"/>
    </w:lvl>
    <w:lvl w:ilvl="7" w:tplc="C310DD4C">
      <w:numFmt w:val="decimal"/>
      <w:lvlText w:val=""/>
      <w:lvlJc w:val="left"/>
    </w:lvl>
    <w:lvl w:ilvl="8" w:tplc="4B92AC80">
      <w:numFmt w:val="decimal"/>
      <w:lvlText w:val=""/>
      <w:lvlJc w:val="left"/>
    </w:lvl>
  </w:abstractNum>
  <w:abstractNum w:abstractNumId="1" w15:restartNumberingAfterBreak="0">
    <w:nsid w:val="24620F9B"/>
    <w:multiLevelType w:val="hybridMultilevel"/>
    <w:tmpl w:val="D2CEA808"/>
    <w:lvl w:ilvl="0" w:tplc="DC567B32">
      <w:start w:val="1"/>
      <w:numFmt w:val="bullet"/>
      <w:lvlText w:val="●"/>
      <w:lvlJc w:val="left"/>
      <w:pPr>
        <w:ind w:left="720" w:hanging="360"/>
      </w:pPr>
    </w:lvl>
    <w:lvl w:ilvl="1" w:tplc="924AC39A">
      <w:start w:val="1"/>
      <w:numFmt w:val="bullet"/>
      <w:lvlText w:val="○"/>
      <w:lvlJc w:val="left"/>
      <w:pPr>
        <w:ind w:left="1440" w:hanging="360"/>
      </w:pPr>
    </w:lvl>
    <w:lvl w:ilvl="2" w:tplc="8CB808E4">
      <w:start w:val="1"/>
      <w:numFmt w:val="bullet"/>
      <w:lvlText w:val="■"/>
      <w:lvlJc w:val="left"/>
      <w:pPr>
        <w:ind w:left="2160" w:hanging="360"/>
      </w:pPr>
    </w:lvl>
    <w:lvl w:ilvl="3" w:tplc="6B3AF0FE">
      <w:start w:val="1"/>
      <w:numFmt w:val="bullet"/>
      <w:lvlText w:val="●"/>
      <w:lvlJc w:val="left"/>
      <w:pPr>
        <w:ind w:left="2880" w:hanging="360"/>
      </w:pPr>
    </w:lvl>
    <w:lvl w:ilvl="4" w:tplc="C5664BFA">
      <w:start w:val="1"/>
      <w:numFmt w:val="bullet"/>
      <w:lvlText w:val="○"/>
      <w:lvlJc w:val="left"/>
      <w:pPr>
        <w:ind w:left="3600" w:hanging="360"/>
      </w:pPr>
    </w:lvl>
    <w:lvl w:ilvl="5" w:tplc="3E604A14">
      <w:start w:val="1"/>
      <w:numFmt w:val="bullet"/>
      <w:lvlText w:val="■"/>
      <w:lvlJc w:val="left"/>
      <w:pPr>
        <w:ind w:left="4320" w:hanging="360"/>
      </w:pPr>
    </w:lvl>
    <w:lvl w:ilvl="6" w:tplc="599E9CB6">
      <w:start w:val="1"/>
      <w:numFmt w:val="bullet"/>
      <w:lvlText w:val="●"/>
      <w:lvlJc w:val="left"/>
      <w:pPr>
        <w:ind w:left="5040" w:hanging="360"/>
      </w:pPr>
    </w:lvl>
    <w:lvl w:ilvl="7" w:tplc="78409CA0">
      <w:start w:val="1"/>
      <w:numFmt w:val="bullet"/>
      <w:lvlText w:val="●"/>
      <w:lvlJc w:val="left"/>
      <w:pPr>
        <w:ind w:left="5760" w:hanging="360"/>
      </w:pPr>
    </w:lvl>
    <w:lvl w:ilvl="8" w:tplc="3454C10A">
      <w:start w:val="1"/>
      <w:numFmt w:val="bullet"/>
      <w:lvlText w:val="●"/>
      <w:lvlJc w:val="left"/>
      <w:pPr>
        <w:ind w:left="6480" w:hanging="360"/>
      </w:pPr>
    </w:lvl>
  </w:abstractNum>
  <w:num w:numId="1" w16cid:durableId="1081221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5AC"/>
    <w:rsid w:val="005075AC"/>
    <w:rsid w:val="00A75A47"/>
    <w:rsid w:val="00E0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2E75"/>
  <w15:docId w15:val="{CE268817-0D67-4BDD-932B-04FB6036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GOPAL SINGH</cp:lastModifiedBy>
  <cp:revision>2</cp:revision>
  <dcterms:created xsi:type="dcterms:W3CDTF">2026-03-26T06:14:00Z</dcterms:created>
  <dcterms:modified xsi:type="dcterms:W3CDTF">2026-03-26T06:24:00Z</dcterms:modified>
</cp:coreProperties>
</file>