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PiVp6RDGe-UEF-wG8GwkQ.png"/>
            <a:graphic>
              <a:graphicData uri="http://schemas.openxmlformats.org/drawingml/2006/picture">
                <pic:pic>
                  <pic:nvPicPr>
                    <pic:cNvPr id="2" name="image-PiVp6RDGe-UEF-wG8GwkQ.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Ws Gen Connections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Ws Gen Connections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Ws</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generate-connection-delete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generate-connection-create-update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Generate Connection Delete (#generateConnectionDelete)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generate-connection-delete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"EWhen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w:t>
            </w:r>
          </w:p>
        </w:tc>
      </w:tr>
    </w:tbl>
    <w:p>
      <w:pPr>
        <w:spacing w:lineRule="auto"/>
      </w:pPr>
      <w:r>
        <w:rPr/>
      </w:r>
    </w:p>
    <w:p>
      <w:pPr>
        <w:pStyle w:val="Heading3"/>
        <w:spacing w:lineRule="auto"/>
      </w:pPr>
      <w:r>
        <w:rPr>
          <w:rFonts w:ascii="&amp;#039" w:hAnsi="&amp;#039"/>
          <w:sz w:val="27"/>
        </w:rPr>
        <w:t xml:space="preserve">Action "EWhen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w:t>
            </w:r>
          </w:p>
        </w:tc>
      </w:tr>
    </w:tbl>
    <w:p>
      <w:pPr>
        <w:spacing w:lineRule="auto"/>
      </w:pPr>
      <w:r>
        <w:rPr/>
      </w:r>
    </w:p>
    <w:p>
      <w:pPr>
        <w:spacing w:lineRule="auto"/>
      </w:pPr>
      <w:r>
        <w:rPr>
          <w:color w:val="012840"/>
          <w:b/>
          <w:rFonts w:ascii="inter" w:hAnsi="inter"/>
          <w:sz w:val="42"/>
        </w:rPr>
        <w:t xml:space="preserve">Generate Connection Create Update (#generateConnectionCreateUpdate)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generate-connection-create-update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connection</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connection</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jOgEtRDVAwo-hdTjrlUvY.png" TargetMode="Internal"/>
  <Relationship Id="rId7" Type="http://schemas.openxmlformats.org/officeDocument/2006/relationships/image" Target="media/image-PiVp6RDGe-UEF-wG8GwkQ.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