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Antibiotic resistance patterns in urinary isolates: a retrospective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 Author, B. Author. Department of Microbiology, Example Medical College.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Background: Antimicrobial resistance (AMR) is rising. Methods: We reviewed 412 isolates. Results: ESBL producers formed 38%. Conclusion: Surveillance is needed.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Keywords: antimicrobial resistance, urinary tract infection, ESBL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Urinary tract infections (UTI) are common. ESBL producers limit treatment options (Figure 1).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Materials and Methods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Isolates collected between January 2018 and December 2019 were tested by disc diffusion. Written informed consent was waived.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Results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Resistance profiles are shown in Table 1 and Figure 3.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Organism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Comment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Our ESBL rate is comparable to other Indian studies [1,2].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None.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Smith J. Example reference. J Example. 2020;1:1-5.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Kumar R. Another reference. Indian J Example. 2021;2:6-9.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