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Antibiotic resistance patterns in urinary isolates: a retrospective study</w:t>
      </w:r>
    </w:p>
    <w:p>
      <w:r>
        <w:t>A. Author, B. Author. Department of Microbiology, Example Medical College.</w:t>
      </w:r>
    </w:p>
    <w:p>
      <w:pPr>
        <w:pStyle w:val="Heading1"/>
      </w:pPr>
      <w:r>
        <w:t>Abstract</w:t>
      </w:r>
    </w:p>
    <w:p>
      <w:r>
        <w:t>Background: Antimicrobial resistance (AMR) is rising. Methods: We reviewed 412 isolates. Results: ESBL producers formed 38%.</w:t>
      </w:r>
    </w:p>
    <w:p>
      <w:r>
        <w:t>Keywords: antimicrobial resistance, urinary tract infection, ESBL</w:t>
      </w:r>
    </w:p>
    <w:p>
      <w:pPr>
        <w:pStyle w:val="Heading1"/>
      </w:pPr>
      <w:r>
        <w:t>1. Introduction</w:t>
      </w:r>
    </w:p>
    <w:p>
      <w:r>
        <w:t>Urinary tract infections (UTI) are common. ESBL producers limit treatment options (Figure 1).</w:t>
      </w:r>
    </w:p>
    <w:p>
      <w:pPr>
        <w:pStyle w:val="Heading1"/>
      </w:pPr>
      <w:r>
        <w:t>2. Materials and Methods</w:t>
      </w:r>
    </w:p>
    <w:p>
      <w:r>
        <w:t>Isolates collected between January 2018 and December 2019 were tested by disc diffusion (Table 2).</w:t>
      </w:r>
    </w:p>
    <w:p>
      <w:pPr>
        <w:pStyle w:val="Heading1"/>
      </w:pPr>
      <w:r>
        <w:t>3. Results</w:t>
      </w:r>
    </w:p>
    <w:p>
      <w:r>
        <w:t>Resistance profiles are shown in Table 1 and Figures 3 and 4.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Organism</w:t>
            </w:r>
          </w:p>
        </w:tc>
        <w:tc>
          <w:tcPr>
            <w:tcW w:type="dxa" w:w="4320"/>
          </w:tcPr>
          <w:p>
            <w:r>
              <w:t>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4. Discussion</w:t>
      </w:r>
    </w:p>
    <w:p>
      <w:r>
        <w:t>Our ESBL rate is comparable to other Indian studies [1,2].</w:t>
      </w:r>
    </w:p>
    <w:p>
      <w:pPr>
        <w:pStyle w:val="Heading1"/>
      </w:pPr>
      <w:r>
        <w:t>Figure legends</w:t>
      </w:r>
    </w:p>
    <w:p>
      <w:r>
        <w:t>Figure 1. Distribution of isolates by organism.</w:t>
      </w:r>
    </w:p>
    <w:p>
      <w:r>
        <w:t>Figure 2. Resistance trend over the study period.</w:t>
      </w:r>
    </w:p>
    <w:p>
      <w:r>
        <w:t>Figure 3. ESBL rates by ward.</w:t>
      </w:r>
    </w:p>
    <w:p>
      <w:pPr>
        <w:pStyle w:val="Heading1"/>
      </w:pPr>
      <w:r>
        <w:t>References</w:t>
      </w:r>
    </w:p>
    <w:p>
      <w:r>
        <w:t>1. Smith J. Table 5 of national data. J Example. 2020;1:1-5.</w:t>
      </w:r>
    </w:p>
    <w:p>
      <w:r>
        <w:t>2. Kumar R. Another reference. Indian J Example. 2021;2:6-9.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