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Resistance patterns in urinary isolates</w:t>
      </w:r>
    </w:p>
    <w:p>
      <w:r>
        <w:t>A. Author, B. Author. Department of Microbiology, Example Medical College.</w:t>
      </w:r>
    </w:p>
    <w:p>
      <w:pPr>
        <w:pStyle w:val="Heading1"/>
      </w:pPr>
      <w:r>
        <w:t>Abstract</w:t>
      </w:r>
    </w:p>
    <w:p>
      <w:r>
        <w:t>Background: Antimicrobial resistance (AMR) is rising among ESBL producers. Methods: Isolates were tested by disc diffusion per CLSI guidelines. Results: ESBL producers formed 38%.</w:t>
      </w:r>
    </w:p>
    <w:p>
      <w:r>
        <w:t>Keywords: antimicrobial resistance, UTI, ESBL</w:t>
      </w:r>
    </w:p>
    <w:p>
      <w:pPr>
        <w:pStyle w:val="Heading1"/>
      </w:pPr>
      <w:r>
        <w:t>1. Introduction</w:t>
      </w:r>
    </w:p>
    <w:p>
      <w:r>
        <w:t>Urinary tract infections (UTIs) are among the most common bacterial infections. Extended-spectrum beta-lactamase (ESBL) producers limit treatment options, and UTI caused by ESBLs is rising.</w:t>
      </w:r>
    </w:p>
    <w:p>
      <w:r>
        <w:t>Antimicrobial resistance (AMR) has been declared a global threat by the WHO. Phase II trials are ongoing.</w:t>
      </w:r>
    </w:p>
    <w:p>
      <w:pPr>
        <w:pStyle w:val="Heading1"/>
      </w:pPr>
      <w:r>
        <w:t>2. Materials and Methods</w:t>
      </w:r>
    </w:p>
    <w:p>
      <w:r>
        <w:t>Minimum inhibitory concentrations (MIC) were read per CLSI. Clinical and Laboratory Standards Institute (CLSI) breakpoints were used. PCR confirmed ESBL genes.</w:t>
      </w:r>
    </w:p>
    <w:p>
      <w:pPr>
        <w:pStyle w:val="Heading1"/>
      </w:pPr>
      <w:r>
        <w:t>3. Results</w:t>
      </w:r>
    </w:p>
    <w:p>
      <w:r>
        <w:t>Of 412 isolates, 38% were ESBL producers. Extended-spectrum beta-lactamase (ESBL) rates were highest in the ICU.</w:t>
      </w:r>
    </w:p>
    <w:p>
      <w:pPr>
        <w:pStyle w:val="Heading1"/>
      </w:pPr>
      <w:r>
        <w:t>References</w:t>
      </w:r>
    </w:p>
    <w:p>
      <w:r>
        <w:t>1. Smith J. AMR in Asia. J Example. 2020;1:1-5.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