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Text-message reminders for hand hygiene among nurses: protocol for a randomised controlled trial</w:t>
      </w:r>
    </w:p>
    <w:p>
      <w:r>
        <w:t>Priya Sharma1*, Rahul Verma2</w:t>
      </w:r>
    </w:p>
    <w:p>
      <w:r>
        <w:t>1 Department of Community Medicine, Lakeview Medical College, Pune, India. 2 School of Nursing, Lakeview University, Pune, India.</w:t>
      </w:r>
    </w:p>
    <w:p>
      <w:r>
        <w:t>*Corresponding author: priya.sharma@lakeview.edu.in; ORCID 0000-0002-1825-0097</w:t>
      </w:r>
    </w:p>
    <w:p>
      <w:pPr>
        <w:pStyle w:val="Heading1"/>
      </w:pPr>
      <w:r>
        <w:t>Abstract</w:t>
      </w:r>
    </w:p>
    <w:p>
      <w:r>
        <w:t>Introduction: Reminders may improve hand hygiene. Methods and analysis: This randomised controlled trial will allocate 240 nurses to text reminders or usual care. Ethics and dissemination: Results will be published in a peer-reviewed journal.</w:t>
      </w:r>
    </w:p>
    <w:p>
      <w:pPr>
        <w:pStyle w:val="Heading1"/>
      </w:pPr>
      <w:r>
        <w:t>Keywords</w:t>
      </w:r>
    </w:p>
    <w:p>
      <w:r>
        <w:t>hand hygiene; reminders; nurses; protocol</w:t>
      </w:r>
    </w:p>
    <w:p>
      <w:pPr>
        <w:pStyle w:val="Heading1"/>
      </w:pPr>
      <w:r>
        <w:t>Introduction</w:t>
      </w:r>
    </w:p>
    <w:p>
      <w:r>
        <w:t>Hand hygiene compliance is low in many hospitals [1].</w:t>
      </w:r>
    </w:p>
    <w:p>
      <w:pPr>
        <w:pStyle w:val="Heading1"/>
      </w:pPr>
      <w:r>
        <w:t>Methods</w:t>
      </w:r>
    </w:p>
    <w:p>
      <w:r>
        <w:t>This protocol follows the SPIRIT 2013 statement. The trial will run between January 2027 and December 2027 at Lakeview Medical College and is registered with the Clinical Trials Registry of India (CTRI/2026/08/081234).</w:t>
      </w:r>
    </w:p>
    <w:p>
      <w:r>
        <w:t>We will enrol 240 nurses. Inclusion criteria are permanent ward staff; exclusion criteria are planned leave. The sample size gives 80% power. The primary outcome is compliance at 12 weeks. The schedule of enrolment and assessments is shown in Figure 1 [2].</w:t>
      </w:r>
    </w:p>
    <w:p>
      <w:r>
        <w:t>The randomisation sequence will be computer-generated, allocation concealed in sealed envelopes and assessors blinded.</w:t>
      </w:r>
    </w:p>
    <w:p>
      <w:r>
        <w:t>The protocol was approved by the Institutional Ethics Committee (approval no. IEC/2026/041, dated 3 June 2026). Written informed consent will be obtained from all participants. Results will be disseminated through publication and conference presentations.</w:t>
      </w:r>
    </w:p>
    <w:p>
      <w:pPr>
        <w:pStyle w:val="Heading1"/>
      </w:pPr>
      <w:r>
        <w:t>Discussion</w:t>
      </w:r>
    </w:p>
    <w:p>
      <w:r>
        <w:t>The trial will show whether reminders are worth scaling up [3].</w:t>
      </w:r>
    </w:p>
    <w:p>
      <w:pPr>
        <w:pStyle w:val="Heading1"/>
      </w:pPr>
      <w:r>
        <w:t>Acknowledgements</w:t>
      </w:r>
    </w:p>
    <w:p>
      <w:r>
        <w:t>We thank the ward staff for their support.</w:t>
      </w:r>
    </w:p>
    <w:p>
      <w:pPr>
        <w:pStyle w:val="Heading1"/>
      </w:pPr>
      <w:r>
        <w:t>Funding</w:t>
      </w:r>
    </w:p>
    <w:p>
      <w:r>
        <w:t>This work was funded by the Indian Council of Medical Research (grant no. ICMR/2023/4567).</w:t>
      </w:r>
    </w:p>
    <w:p>
      <w:pPr>
        <w:pStyle w:val="Heading1"/>
      </w:pPr>
      <w:r>
        <w:t>Conflicts of interest</w:t>
      </w:r>
    </w:p>
    <w:p>
      <w:r>
        <w:t>The authors declare no conflicts of interest.</w:t>
      </w:r>
    </w:p>
    <w:p>
      <w:pPr>
        <w:pStyle w:val="Heading1"/>
      </w:pPr>
      <w:r>
        <w:t>Author contributions</w:t>
      </w:r>
    </w:p>
    <w:p>
      <w:r>
        <w:t>PS: Conceptualization, Methodology, Writing – original draft. RV: Formal analysis, Investigation, Writing – review &amp; editing.</w:t>
      </w:r>
    </w:p>
    <w:p>
      <w:pPr>
        <w:pStyle w:val="Heading1"/>
      </w:pPr>
      <w:r>
        <w:t>Data availability statement</w:t>
      </w:r>
    </w:p>
    <w:p>
      <w:r>
        <w:t>The anonymised data are deposited in Zenodo (https://doi.org/10.5281/zenodo.1234567).</w:t>
      </w:r>
    </w:p>
    <w:p>
      <w:pPr>
        <w:pStyle w:val="Heading1"/>
      </w:pPr>
      <w:r>
        <w:t>Declaration of generative AI use</w:t>
      </w:r>
    </w:p>
    <w:p>
      <w:r>
        <w:t>No generative AI tools were used in preparing this manuscript.</w:t>
      </w:r>
    </w:p>
    <w:p>
      <w:r>
        <w:t>Figure 1. Schedule of enrolment, interventions and assessments.</w:t>
      </w:r>
    </w:p>
    <w:p>
      <w:pPr>
        <w:pStyle w:val="Heading1"/>
      </w:pPr>
      <w:r>
        <w:t>References</w:t>
      </w:r>
    </w:p>
    <w:p>
      <w:r>
        <w:t>1. Author1 A, Writer B. Example study 1. J Example Med. 2021;1:1-9.</w:t>
      </w:r>
    </w:p>
    <w:p>
      <w:r>
        <w:t>2. Author2 A, Writer B. Example study 2. J Example Med. 2022;2:1-9.</w:t>
      </w:r>
    </w:p>
    <w:p>
      <w:r>
        <w:t>3. Author3 A, Writer B. Example study 3. J Example Med. 2023;3:1-9.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