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hygiene audits in district hospitals: a cross-sectional study</w:t>
      </w:r>
    </w:p>
    <w:p>
      <w:r>
        <w:t>Running title: Hand hygiene audits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Highlights</w:t>
      </w:r>
    </w:p>
    <w:p>
      <w:r>
        <w:t>Nurses complied with hand hygiene in 64% of opportunities.</w:t>
      </w:r>
    </w:p>
    <w:p>
      <w:r>
        <w:t>Compliance was highest on surgical wards.</w:t>
      </w:r>
    </w:p>
    <w:p>
      <w:r>
        <w:t>Regular audits with feedback are recommended.</w:t>
      </w:r>
    </w:p>
    <w:p>
      <w:pPr>
        <w:pStyle w:val="Heading1"/>
      </w:pPr>
      <w:r>
        <w:t>Abstract</w:t>
      </w:r>
    </w:p>
    <w:p>
      <w:r>
        <w:t>Background: Hand hygiene prevents infections. Methods: We observed 150 nurses in district hospitals. Results: Compliance was 64%. Conclusion: Audits with feedback are needed.</w:t>
      </w:r>
    </w:p>
    <w:p>
      <w:pPr>
        <w:pStyle w:val="Heading1"/>
      </w:pPr>
      <w:r>
        <w:t>Keywords</w:t>
      </w:r>
    </w:p>
    <w:p>
      <w:r>
        <w:t>hand hygiene; audit; district hospitals; infection control</w:t>
      </w:r>
    </w:p>
    <w:p>
      <w:pPr>
        <w:pStyle w:val="Heading1"/>
      </w:pPr>
      <w:r>
        <w:t>Introduction</w:t>
      </w:r>
    </w:p>
    <w:p>
      <w:r>
        <w:t>Hand hygiene prevents hospital infections [1]. Audits can change behaviour [2].</w:t>
      </w:r>
    </w:p>
    <w:p>
      <w:pPr>
        <w:pStyle w:val="Heading1"/>
      </w:pPr>
      <w:r>
        <w:t>Methods</w:t>
      </w:r>
    </w:p>
    <w:p>
      <w:r>
        <w:t>This cross-sectional study, reported according to STROBE, was conducted between May 2025 and July 2025 in district hospitals. A total of 150 nurses (n = 150) were observed; 120 (80.0%) were women. Inclusion criteria were ward nurses; exclusion criteria were trainees. Statistical analysis used chi-square tests in Stata 17; missing data were excluded, and observer bias was reduced by training. The study was approved by the Institutional Ethics Committee (approval no. IEC/2025/051, dated 3 April 2025)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Compliance was 64% (Table 1; Figure 1), higher on surgical wards (p = 0.03) [3].</w:t>
      </w:r>
    </w:p>
    <w:p>
      <w:pPr>
        <w:pStyle w:val="Heading1"/>
      </w:pPr>
      <w:r>
        <w:t>Discussion</w:t>
      </w:r>
    </w:p>
    <w:p>
      <w:r>
        <w:t>Compliance was similar to earlier audits [4].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pPr>
        <w:pStyle w:val="Heading1"/>
      </w:pPr>
    </w:p>
    <w:p>
      <w:r>
        <w:t>Figure 1. Compliance by ward (1).</w:t>
      </w:r>
    </w:p>
    <w:p>
      <w:r>
        <w:t>Table 1. Characteristics.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sectPr w:rsidR="00FC693F" w:rsidRPr="0006063C" w:rsidSect="00034616">
      <w:lnNumType w:countBy="1" w:restart="continuous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