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observational cross-sectional study of hand hygiene compliance among nurses working in district hospitals of western India during 2025 and its determinants</w:t>
      </w:r>
    </w:p>
    <w:p>
      <w:r>
        <w:t>Priya Sharma1*, Rahul Verma2</w:t>
      </w:r>
    </w:p>
    <w:p>
      <w:r>
        <w:t>1 Department of Community Medicine, Lakeview Medical College, Pune, India. 2 School of Nursing, Lakeview University, Pune, India.</w:t>
      </w:r>
    </w:p>
    <w:p>
      <w:r>
        <w:t>*Corresponding author: priya.sharma@lakeview.edu.in; ORCID 0000-0002-1825-0097</w:t>
      </w:r>
    </w:p>
    <w:p>
      <w:pPr>
        <w:pStyle w:val="Heading1"/>
      </w:pPr>
      <w:r>
        <w:t>Abstract</w:t>
      </w:r>
    </w:p>
    <w:p>
      <w:r>
        <w:t>Hand hygiene prevents hospital infections, but compliance among nurses in district hospitals is often low and poorly documented. We observed 150 nurses across several wards over three months and recorded every opportunity for hand hygiene, together with the ward, the time of day and the type of contact. Overall compliance was 64%, ranging from about half of opportunities on medical wards to three quarters on surgical wards. Workload and the lack of alcohol rub at the bedside were the most common reasons given. The audit also recorded glove use and whether sinks, soap and paper towels were available on every ward that was visited. Regular audits with feedback, better supplies of alcohol rub and attention to staffing could all improve compliance, and should be tested in future studies across more hospitals.</w:t>
      </w:r>
    </w:p>
    <w:p>
      <w:pPr>
        <w:pStyle w:val="Heading1"/>
      </w:pPr>
      <w:r>
        <w:t>Keywords</w:t>
      </w:r>
    </w:p>
    <w:p>
      <w:r>
        <w:t>hand hygiene; nurses</w:t>
      </w:r>
    </w:p>
    <w:p>
      <w:pPr>
        <w:pStyle w:val="Heading1"/>
      </w:pPr>
      <w:r>
        <w:t>Introduction</w:t>
      </w:r>
    </w:p>
    <w:p>
      <w:r>
        <w:t>Hand hygiene prevents hospital infections [1]. Audits can change behaviour [2].</w:t>
      </w:r>
    </w:p>
    <w:p>
      <w:pPr>
        <w:pStyle w:val="Heading1"/>
      </w:pPr>
      <w:r>
        <w:t>Methods</w:t>
      </w:r>
    </w:p>
    <w:p>
      <w:r>
        <w:t>This cross-sectional study, reported according to STROBE, was conducted between May 2025 and July 2025 in district hospitals. A total of 150 nurses (n = 150) were observed; 120 (80.0%) were women. Inclusion criteria were ward nurses; exclusion criteria were trainees. Statistical analysis used chi-square tests in Stata 17; missing data were excluded, and observer bias was reduced by training. The study was approved by the Institutional Ethics Committee (approval no. IEC/2025/051, dated 3 April 2025) and followed the Declaration of Helsinki. Written informed consent was obtained from all participants.</w:t>
      </w:r>
    </w:p>
    <w:p>
      <w:pPr>
        <w:pStyle w:val="Heading1"/>
      </w:pPr>
      <w:r>
        <w:t>Results</w:t>
      </w:r>
    </w:p>
    <w:p>
      <w:r>
        <w:t>Compliance was 64% (Table 1; Figure 1, Figure 2), higher on surgical wards (p = 0.03) [3].</w:t>
      </w:r>
    </w:p>
    <w:p>
      <w:pPr>
        <w:pStyle w:val="Heading1"/>
      </w:pPr>
      <w:r>
        <w:t>Discussion</w:t>
      </w:r>
    </w:p>
    <w:p>
      <w:r>
        <w:t>Compliance was similar to earlier audits [4], and behavior change after feedback was modest [5]. 45 nurses said that workload was the main barrier [6].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Feedback sessions were short, practical and repeated every month on every ward. Ward managers supported the audits (p = .04), although one ward showed no change (p = 0.000).</w:t>
      </w:r>
    </w:p>
    <w:p>
      <w:pPr>
        <w:pStyle w:val="Heading1"/>
      </w:pPr>
      <w:r>
        <w:t>Acknowledgements</w:t>
      </w:r>
    </w:p>
    <w:p>
      <w:r>
        <w:t>We thank the ward staff for their support.</w:t>
      </w:r>
    </w:p>
    <w:p>
      <w:pPr>
        <w:pStyle w:val="Heading1"/>
      </w:pPr>
      <w:r>
        <w:t>Funding</w:t>
      </w:r>
    </w:p>
    <w:p>
      <w:r>
        <w:t>This work was funded by the Indian Council of Medical Research (grant no. ICMR/2023/4567).</w:t>
      </w:r>
    </w:p>
    <w:p>
      <w:pPr>
        <w:pStyle w:val="Heading1"/>
      </w:pPr>
      <w:r>
        <w:t>Conflicts of interest</w:t>
      </w:r>
    </w:p>
    <w:p>
      <w:r>
        <w:t>The authors declare no conflicts of interest.</w:t>
      </w:r>
    </w:p>
    <w:p>
      <w:pPr>
        <w:pStyle w:val="Heading1"/>
      </w:pPr>
      <w:r>
        <w:t>Author contributions</w:t>
      </w:r>
    </w:p>
    <w:p>
      <w:r>
        <w:t>PS: Conceptualization, Methodology, Writing – original draft. RV: Formal analysis, Investigation, Writing – review &amp; editing.</w:t>
      </w:r>
    </w:p>
    <w:p>
      <w:pPr>
        <w:pStyle w:val="Heading1"/>
      </w:pPr>
      <w:r>
        <w:t>Data availability statement</w:t>
      </w:r>
    </w:p>
    <w:p>
      <w:r>
        <w:t>The anonymised data are deposited in Zenodo (https://doi.org/10.5281/zenodo.1234567).</w:t>
      </w:r>
    </w:p>
    <w:p>
      <w:pPr>
        <w:pStyle w:val="Heading1"/>
      </w:pPr>
      <w:r>
        <w:t>Declaration of generative AI use</w:t>
      </w:r>
    </w:p>
    <w:p>
      <w:r>
        <w:t>No generative AI tools were used in preparing this manuscript.</w:t>
      </w:r>
    </w:p>
    <w:p>
      <w:pPr>
        <w:pStyle w:val="Heading1"/>
      </w:pPr>
    </w:p>
    <w:p>
      <w:r>
        <w:t>Figure 1. Compliance by ward (1).</w:t>
      </w:r>
    </w:p>
    <w:p>
      <w:r>
        <w:t>Figure 2. Compliance by ward (2).</w:t>
      </w:r>
    </w:p>
    <w:p>
      <w:r>
        <w:t>Table 1. Characteristics.</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tc>
      </w:tr>
      <w:tr>
        <w:tc>
          <w:tcPr>
            <w:tcW w:type="dxa" w:w="4320"/>
          </w:tcPr>
          <w:p/>
        </w:tc>
        <w:tc>
          <w:tcPr>
            <w:tcW w:type="dxa" w:w="4320"/>
          </w:tcPr>
          <w:p/>
        </w:tc>
      </w:tr>
    </w:tbl>
    <w:p>
      <w:pPr>
        <w:pStyle w:val="Heading1"/>
      </w:pPr>
      <w:r>
        <w:t>References</w:t>
      </w:r>
    </w:p>
    <w:p>
      <w:r>
        <w:t>1. Author1 A, Writer B. Example study 1. J Example Med. 2021;1:1-9.</w:t>
      </w:r>
    </w:p>
    <w:p>
      <w:r>
        <w:t>2. Author2 A, Writer B. Example study 2. J Example Med. 2022;2:1-9.</w:t>
      </w:r>
    </w:p>
    <w:p>
      <w:r>
        <w:t>3. Author3 A, Writer B. Example study 3. J Example Med. 2023;3:1-9.</w:t>
      </w:r>
    </w:p>
    <w:p>
      <w:r>
        <w:t>4. Author4 A, Writer B. Example study 4. J Example Med. 2024;4:1-9.</w:t>
      </w:r>
    </w:p>
    <w:p>
      <w:r>
        <w:t>5. Author5 A, Writer B. Example study 5. J Example Med. 2020;5:1-9.</w:t>
      </w:r>
    </w:p>
    <w:p>
      <w:r>
        <w:t>6. Author6 A, Writer B. Example study 6. J Example Med. 2021;6:1-9.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