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Hand hygiene knowledge among nursing students: a cross-sectional survey</w:t>
      </w:r>
    </w:p>
    <w:p>
      <w:pPr>
        <w:pStyle w:val="Heading1"/>
      </w:pPr>
      <w:r>
        <w:t>Introduction</w:t>
      </w:r>
    </w:p>
    <w:p>
      <w:r>
        <w:t>HAI rates are high in Indian hospitals. Healthcare-associated infections (HAI) are common. Hand hygiene (HH) prevents them, and methicillin-resistant Staphylococcus aureus (MRSA) is a particular concern. HH training varies.</w:t>
      </w:r>
    </w:p>
    <w:p>
      <w:pPr>
        <w:pStyle w:val="Heading1"/>
      </w:pPr>
      <w:r>
        <w:t>Methods</w:t>
      </w:r>
    </w:p>
    <w:p>
      <w:r>
        <w:t>This cross-sectional survey, reported according to STROBE, was conducted between June 2025 and August 2025. Hand hygiene (HH) knowledge was measured with a questionnaire, provided as Supplementary File 1. A total of 200 students (n = 200) took part; 150 (75.0%) were women. Inclusion criteria were nursing students; exclusion criteria were students on leave. Statistical analysis used chi-square tests; missing data were excluded, and bias is discussed.</w:t>
      </w:r>
    </w:p>
    <w:p>
      <w:r>
        <w:t>The study received ethical approval and followed the Declaration of Helsinki. Informed consent was obtained from all participants.</w:t>
      </w:r>
    </w:p>
    <w:p>
      <w:pPr>
        <w:pStyle w:val="Heading1"/>
      </w:pPr>
      <w:r>
        <w:t>Results</w:t>
      </w:r>
    </w:p>
    <w:p>
      <w:r>
        <w:t>Knowledge was higher in final-year students (Figure 1; Figure 3; Table 2).</w:t>
      </w:r>
    </w:p>
    <w:p>
      <w:pPr>
        <w:pStyle w:val="Heading1"/>
      </w:pPr>
      <w:r>
        <w:t>Discussion</w:t>
      </w:r>
    </w:p>
    <w:p>
      <w:r>
        <w:t>HH knowledge was moderate.</w:t>
      </w:r>
    </w:p>
    <w:p>
      <w:r>
        <w:t>Figure 1. Knowledge by year.</w:t>
      </w:r>
    </w:p>
    <w:p>
      <w:r>
        <w:t>Figure 2. Knowledge by sex.</w:t>
      </w:r>
    </w:p>
    <w:p>
      <w:r>
        <w:t>Table 2. Scores.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