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03" w:rsidRPr="00471303" w:rsidRDefault="00471303" w:rsidP="00471303">
      <w:pPr>
        <w:pStyle w:val="Title"/>
      </w:pPr>
      <w:r>
        <w:t>Conservation Prioritization</w:t>
      </w:r>
      <w:r>
        <w:t xml:space="preserve"> of </w:t>
      </w:r>
      <w:r w:rsidR="006121F8">
        <w:t xml:space="preserve">Multiple Belizean Land Parcels VIA Local and Regional </w:t>
      </w:r>
      <w:r w:rsidR="006121F8">
        <w:t xml:space="preserve">Avifaunal Assessment </w:t>
      </w:r>
      <w:r w:rsidR="006121F8">
        <w:t xml:space="preserve"> </w:t>
      </w:r>
    </w:p>
    <w:p w:rsidR="009F6A0E" w:rsidRDefault="00964EF2">
      <w:pPr>
        <w:pStyle w:val="Heading1"/>
      </w:pPr>
      <w:r>
        <w:t>INTRODUCTION</w:t>
      </w:r>
    </w:p>
    <w:p w:rsidR="00472AFF" w:rsidRDefault="00472AFF" w:rsidP="00472AFF">
      <w:pPr>
        <w:pStyle w:val="ScienceNormal"/>
      </w:pPr>
    </w:p>
    <w:p w:rsidR="00472AFF" w:rsidRDefault="00472AFF" w:rsidP="002F63E0">
      <w:pPr>
        <w:pStyle w:val="ScienceNormal"/>
        <w:spacing w:line="480" w:lineRule="auto"/>
      </w:pPr>
      <w:r>
        <w:tab/>
      </w:r>
      <w:r>
        <w:t>The Central American jewel of Belize, with its rich mosaic of tropical habitats, serves as an aviary sanctuary to a kaleidoscope of bird species, playing a pivotal role in the region's ecological fabric. The conservation of these habitats is not merely a matter of preserving the ornithological diversity; it is an intrinsic component of maintaining the ecological equilibrium, ensuring the survival of numerous species, and fostering the resilience of local ecosystems against the looming threats of climate change and habitat destruction.</w:t>
      </w:r>
    </w:p>
    <w:p w:rsidR="009C0E8C" w:rsidRDefault="00472AFF" w:rsidP="002F63E0">
      <w:pPr>
        <w:pStyle w:val="ScienceNormal"/>
        <w:spacing w:line="480" w:lineRule="auto"/>
      </w:pPr>
      <w:r>
        <w:tab/>
      </w:r>
      <w:r w:rsidR="009C0E8C">
        <w:t>In the field of environmental science, the quantification and analysis of biodiversity are foundational to the strategic selection of conservation areas. The conservation organization's mission in Belize is emblematic of the critical decisions that must be made in the face of finite resources. This report will synthesize field data, remote sensing information, and established ecological metrics to guide the organization towards a data-driven decision for land acquisition.</w:t>
      </w:r>
    </w:p>
    <w:p w:rsidR="009C0E8C" w:rsidRDefault="00472AFF" w:rsidP="002F63E0">
      <w:pPr>
        <w:pStyle w:val="ScienceNormal"/>
        <w:spacing w:line="480" w:lineRule="auto"/>
      </w:pPr>
      <w:r>
        <w:tab/>
      </w:r>
      <w:r w:rsidR="009C0E8C">
        <w:t>The urgency of this work is underscored by the rapid changes occurring in tropical regions globally, where deforestation rates are amongst the highest in the world. Birds, often heralded as indicators of environmental health, provide a window into the vitality of the habitats they inhabit. By assessing avian biodiversity in conjunction with vegetative structures, conservationists can identify key areas that not only harbor rich avian populations but also possess the ecological robustness to sustain them.</w:t>
      </w:r>
    </w:p>
    <w:p w:rsidR="009C0E8C" w:rsidRDefault="00472AFF" w:rsidP="002F63E0">
      <w:pPr>
        <w:pStyle w:val="ScienceNormal"/>
        <w:spacing w:line="480" w:lineRule="auto"/>
      </w:pPr>
      <w:r>
        <w:lastRenderedPageBreak/>
        <w:tab/>
      </w:r>
      <w:r w:rsidR="009C0E8C">
        <w:t>This report will navigate through layers of data, drawn from the synergy between vegetation and bird communities, to deliver a recommendation that aligns with the conservation group's ethos. It is a harmonization of scientific rigor with conservation praxis, aimed at preserving the avian symphony of Belize for generations to come.</w:t>
      </w:r>
    </w:p>
    <w:p w:rsidR="00472AFF" w:rsidRDefault="007A6649" w:rsidP="002F63E0">
      <w:pPr>
        <w:pStyle w:val="Heading1"/>
        <w:spacing w:line="480" w:lineRule="auto"/>
      </w:pPr>
      <w:r>
        <w:t>METHODS</w:t>
      </w:r>
    </w:p>
    <w:p w:rsidR="005C28A5" w:rsidRDefault="00472AFF" w:rsidP="002F63E0">
      <w:pPr>
        <w:pStyle w:val="ScienceNormal"/>
        <w:spacing w:line="480" w:lineRule="auto"/>
      </w:pPr>
      <w:r>
        <w:tab/>
      </w:r>
      <w:r w:rsidR="005C28A5">
        <w:t>To ascertain the avian diversity within four distinct parcels of land in Belize, we employed a two-pronged approach: analyzing field data at both local and regional scales, and interpreting remote sensing information. This methodology aligns with the MacKinnon list technique as detailed by O'Dea et al. (2004), which is designed for rapid assessment of biodiversity in field conditions.</w:t>
      </w:r>
    </w:p>
    <w:p w:rsidR="005C28A5" w:rsidRPr="005C28A5" w:rsidRDefault="005C28A5" w:rsidP="002F63E0">
      <w:pPr>
        <w:pStyle w:val="Heading2"/>
        <w:spacing w:line="480" w:lineRule="auto"/>
      </w:pPr>
      <w:r>
        <w:t>Data Collection:</w:t>
      </w:r>
    </w:p>
    <w:p w:rsidR="005C28A5" w:rsidRDefault="005C28A5" w:rsidP="002F63E0">
      <w:pPr>
        <w:spacing w:line="480" w:lineRule="auto"/>
        <w:ind w:firstLine="450"/>
      </w:pPr>
      <w:r w:rsidRPr="005C28A5">
        <w:rPr>
          <w:rStyle w:val="Heading4Char"/>
        </w:rPr>
        <w:t>Local Scale:</w:t>
      </w:r>
      <w:r>
        <w:t xml:space="preserve"> Bird surveys were conducted using the MacKinnon list technique within the confines of the specific parcels marked for potential acquisition. Observers systematically recorded the first ten species encountered during each survey walk until a total of ten species were noted. This process was repeated across 15 different survey dates, ensuring a robust representation of the local avifauna.</w:t>
      </w:r>
    </w:p>
    <w:p w:rsidR="005C28A5" w:rsidRDefault="005C28A5" w:rsidP="002F63E0">
      <w:pPr>
        <w:spacing w:line="480" w:lineRule="auto"/>
        <w:ind w:firstLine="450"/>
      </w:pPr>
      <w:r w:rsidRPr="005C28A5">
        <w:rPr>
          <w:rStyle w:val="Heading4Char"/>
        </w:rPr>
        <w:t>Regional Scale:</w:t>
      </w:r>
      <w:r>
        <w:t xml:space="preserve"> Surrounding each local parcel, a broader 15-mile-diameter circle was defined, centered on key locations within Belize. Within these circles, bird species occurrence and abundance data were collated through teams of observers who conducted single-day surveys, encapsulating a larger ecological context.</w:t>
      </w:r>
    </w:p>
    <w:p w:rsidR="00472AFF" w:rsidRDefault="00472AFF" w:rsidP="002F63E0">
      <w:pPr>
        <w:spacing w:line="480" w:lineRule="auto"/>
        <w:ind w:firstLine="450"/>
      </w:pPr>
    </w:p>
    <w:p w:rsidR="005C28A5" w:rsidRPr="005C28A5" w:rsidRDefault="00471303" w:rsidP="002F63E0">
      <w:pPr>
        <w:pStyle w:val="Heading2"/>
        <w:spacing w:line="480" w:lineRule="auto"/>
      </w:pPr>
      <w:r>
        <w:rPr>
          <w:noProof/>
        </w:rPr>
        <w:lastRenderedPageBreak/>
        <w:drawing>
          <wp:anchor distT="0" distB="0" distL="114300" distR="114300" simplePos="0" relativeHeight="251660288" behindDoc="0" locked="0" layoutInCell="1" allowOverlap="1" wp14:anchorId="5BF8D036" wp14:editId="73588D4B">
            <wp:simplePos x="0" y="0"/>
            <wp:positionH relativeFrom="column">
              <wp:posOffset>3068955</wp:posOffset>
            </wp:positionH>
            <wp:positionV relativeFrom="paragraph">
              <wp:posOffset>58420</wp:posOffset>
            </wp:positionV>
            <wp:extent cx="3159125" cy="4088765"/>
            <wp:effectExtent l="0" t="0" r="317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9125" cy="4088765"/>
                    </a:xfrm>
                    <a:prstGeom prst="rect">
                      <a:avLst/>
                    </a:prstGeom>
                  </pic:spPr>
                </pic:pic>
              </a:graphicData>
            </a:graphic>
            <wp14:sizeRelH relativeFrom="margin">
              <wp14:pctWidth>0</wp14:pctWidth>
            </wp14:sizeRelH>
            <wp14:sizeRelV relativeFrom="margin">
              <wp14:pctHeight>0</wp14:pctHeight>
            </wp14:sizeRelV>
          </wp:anchor>
        </w:drawing>
      </w:r>
      <w:r w:rsidR="005C28A5" w:rsidRPr="005C28A5">
        <w:t>Vegetation Analysis:</w:t>
      </w:r>
    </w:p>
    <w:p w:rsidR="005C28A5" w:rsidRDefault="00472AFF" w:rsidP="002F63E0">
      <w:pPr>
        <w:spacing w:line="480" w:lineRule="auto"/>
      </w:pPr>
      <w:r>
        <w:rPr>
          <w:rStyle w:val="ScienceNormalChar"/>
        </w:rPr>
        <w:tab/>
      </w:r>
      <w:r w:rsidR="005C28A5" w:rsidRPr="00472AFF">
        <w:rPr>
          <w:rStyle w:val="ScienceNormalChar"/>
        </w:rPr>
        <w:t xml:space="preserve">Concurrent with avifaunal surveys, the major vegetation communities within both the local parcels and regional circles were documented using </w:t>
      </w:r>
      <w:r w:rsidR="00471303">
        <w:rPr>
          <w:rStyle w:val="ScienceNormalChar"/>
        </w:rPr>
        <w:t xml:space="preserve">Geographical Information Systems (GIS) </w:t>
      </w:r>
      <w:r w:rsidR="005C28A5" w:rsidRPr="00472AFF">
        <w:rPr>
          <w:rStyle w:val="ScienceNormalChar"/>
        </w:rPr>
        <w:t>analyzed remote sensing data. This analysis provided a graphical representation of the vegetative structures, crucial for understanding the habitats and ecological niches that support diverse bird populations</w:t>
      </w:r>
      <w:r w:rsidR="005C28A5">
        <w:t>.</w:t>
      </w:r>
    </w:p>
    <w:p w:rsidR="00EC1148" w:rsidRDefault="00EC1148" w:rsidP="002F63E0">
      <w:pPr>
        <w:spacing w:line="480" w:lineRule="auto"/>
        <w:rPr>
          <w:sz w:val="22"/>
        </w:rPr>
      </w:pPr>
    </w:p>
    <w:p w:rsidR="005C28A5" w:rsidRDefault="005C28A5" w:rsidP="002F63E0">
      <w:pPr>
        <w:pStyle w:val="Heading2"/>
        <w:spacing w:line="480" w:lineRule="auto"/>
      </w:pPr>
      <w:r>
        <w:t>Data Analysis:</w:t>
      </w:r>
    </w:p>
    <w:p w:rsidR="005C28A5" w:rsidRDefault="00472AFF" w:rsidP="002F63E0">
      <w:pPr>
        <w:pStyle w:val="ScienceNormal"/>
        <w:spacing w:line="480" w:lineRule="auto"/>
      </w:pPr>
      <w:r>
        <w:tab/>
      </w:r>
      <w:r w:rsidR="005C28A5">
        <w:t>Using the collected data, we calculated diversity indices to quantify the levels of biodiversity present. This included the total number of taxa (S), Dominance (D), the Shannon index (H), and Equitability (J), each offering a different lens through which to view the ecological tapestry of the regions studied.</w:t>
      </w:r>
    </w:p>
    <w:p w:rsidR="005C28A5" w:rsidRDefault="00472AFF" w:rsidP="002F63E0">
      <w:pPr>
        <w:pStyle w:val="ScienceNormal"/>
        <w:spacing w:line="480" w:lineRule="auto"/>
      </w:pPr>
      <w:r>
        <w:tab/>
      </w:r>
      <w:r w:rsidR="005C28A5">
        <w:t>Species detection line graphs, based on the MacKinnon data, were created to visualize the accumulation of species detections over the survey period, providing insight into the richness and detectability of species within each area.</w:t>
      </w:r>
    </w:p>
    <w:p w:rsidR="005C28A5" w:rsidRDefault="005C28A5" w:rsidP="002F63E0">
      <w:pPr>
        <w:spacing w:line="480" w:lineRule="auto"/>
      </w:pPr>
    </w:p>
    <w:p w:rsidR="005C28A5" w:rsidRDefault="005C28A5" w:rsidP="002F63E0">
      <w:pPr>
        <w:pStyle w:val="Heading2"/>
        <w:spacing w:line="480" w:lineRule="auto"/>
      </w:pPr>
      <w:r>
        <w:lastRenderedPageBreak/>
        <w:t>Ethical Considerations:</w:t>
      </w:r>
    </w:p>
    <w:p w:rsidR="005C28A5" w:rsidRDefault="00472AFF" w:rsidP="002F63E0">
      <w:pPr>
        <w:pStyle w:val="ScienceNormal"/>
        <w:spacing w:line="480" w:lineRule="auto"/>
      </w:pPr>
      <w:r>
        <w:tab/>
      </w:r>
      <w:r w:rsidR="005C28A5">
        <w:t>All fieldwork was conducted with strict adherence to ethical guidelines for wildlife observation, minimizing disturbance to both avifauna and their habitats. Local environmental regulations and international conservation standards were followed to ensure the integrity of the ecosystems under study.</w:t>
      </w:r>
    </w:p>
    <w:p w:rsidR="002F63E0" w:rsidRPr="00A928BF" w:rsidRDefault="00A928BF" w:rsidP="002F63E0">
      <w:pPr>
        <w:pStyle w:val="Heading1"/>
      </w:pPr>
      <w:r>
        <w:t>RESULTS</w:t>
      </w:r>
    </w:p>
    <w:p w:rsidR="002F63E0" w:rsidRDefault="002F63E0" w:rsidP="00F708AF">
      <w:r>
        <w:t>(instructions)</w:t>
      </w:r>
      <w:r w:rsidRPr="00964EF2">
        <w:t xml:space="preserve"> Familiarize yourself with the data provided in the Excel workbooks bird_data.xls and the documents diversity indices.pdf and veg_analyses.pdf</w:t>
      </w:r>
    </w:p>
    <w:p w:rsidR="002F63E0" w:rsidRPr="00964EF2" w:rsidRDefault="002F63E0" w:rsidP="002F63E0">
      <w:pPr>
        <w:numPr>
          <w:ilvl w:val="0"/>
          <w:numId w:val="11"/>
        </w:numPr>
        <w:shd w:val="clear" w:color="auto" w:fill="FFFFFF"/>
        <w:spacing w:before="100" w:beforeAutospacing="1" w:after="100" w:afterAutospacing="1" w:line="420" w:lineRule="atLeast"/>
        <w:ind w:left="150"/>
        <w:rPr>
          <w:rFonts w:ascii="Arial" w:eastAsia="Times New Roman" w:hAnsi="Arial" w:cs="Arial"/>
          <w:szCs w:val="29"/>
        </w:rPr>
      </w:pPr>
      <w:r w:rsidRPr="00964EF2">
        <w:rPr>
          <w:rFonts w:ascii="Arial" w:eastAsia="Times New Roman" w:hAnsi="Arial" w:cs="Arial"/>
          <w:szCs w:val="29"/>
        </w:rPr>
        <w:t>Read and understand </w:t>
      </w:r>
      <w:hyperlink r:id="rId7" w:history="1">
        <w:r w:rsidRPr="00A928BF">
          <w:rPr>
            <w:rFonts w:ascii="Arial" w:eastAsia="Times New Roman" w:hAnsi="Arial" w:cs="Arial"/>
            <w:color w:val="0000FF"/>
            <w:szCs w:val="29"/>
            <w:u w:val="single"/>
            <w:bdr w:val="none" w:sz="0" w:space="0" w:color="auto" w:frame="1"/>
          </w:rPr>
          <w:t>O’Dea et al</w:t>
        </w:r>
      </w:hyperlink>
      <w:r w:rsidRPr="00964EF2">
        <w:rPr>
          <w:rFonts w:ascii="Arial" w:eastAsia="Times New Roman" w:hAnsi="Arial" w:cs="Arial"/>
          <w:szCs w:val="29"/>
        </w:rPr>
        <w:t>. (2004), especially pages 55–56</w:t>
      </w:r>
    </w:p>
    <w:p w:rsidR="002F63E0" w:rsidRDefault="002F63E0" w:rsidP="002F63E0"/>
    <w:p w:rsidR="002F63E0" w:rsidRPr="00964EF2" w:rsidRDefault="002F63E0" w:rsidP="002F63E0">
      <w:pPr>
        <w:shd w:val="clear" w:color="auto" w:fill="FFFFFF"/>
        <w:spacing w:after="0" w:line="420" w:lineRule="atLeast"/>
        <w:rPr>
          <w:rFonts w:ascii="Arial" w:eastAsia="Times New Roman" w:hAnsi="Arial" w:cs="Arial"/>
          <w:szCs w:val="29"/>
        </w:rPr>
      </w:pPr>
      <w:r w:rsidRPr="00964EF2">
        <w:rPr>
          <w:rFonts w:ascii="Arial" w:eastAsia="Times New Roman" w:hAnsi="Arial" w:cs="Arial"/>
          <w:szCs w:val="29"/>
          <w:bdr w:val="none" w:sz="0" w:space="0" w:color="auto" w:frame="1"/>
        </w:rPr>
        <w:t>Milestone One</w:t>
      </w:r>
      <w:r w:rsidRPr="00964EF2">
        <w:rPr>
          <w:rFonts w:ascii="Arial" w:eastAsia="Times New Roman" w:hAnsi="Arial" w:cs="Arial"/>
          <w:szCs w:val="29"/>
        </w:rPr>
        <w:t>: </w:t>
      </w:r>
      <w:r w:rsidRPr="00A928BF">
        <w:rPr>
          <w:rFonts w:ascii="Arial" w:eastAsia="Times New Roman" w:hAnsi="Arial" w:cs="Arial"/>
          <w:i/>
          <w:iCs/>
          <w:szCs w:val="29"/>
        </w:rPr>
        <w:t>Data Exploration and Preparation for Analysis</w:t>
      </w:r>
      <w:r w:rsidRPr="00964EF2">
        <w:rPr>
          <w:rFonts w:ascii="Arial" w:eastAsia="Times New Roman" w:hAnsi="Arial" w:cs="Arial"/>
          <w:szCs w:val="29"/>
        </w:rPr>
        <w:br/>
        <w:t>In this milestone, due as part of </w:t>
      </w:r>
      <w:r w:rsidRPr="00964EF2">
        <w:rPr>
          <w:rFonts w:ascii="inherit" w:eastAsia="Times New Roman" w:hAnsi="inherit" w:cs="Arial"/>
          <w:b/>
          <w:bCs/>
          <w:sz w:val="25"/>
          <w:szCs w:val="29"/>
          <w:bdr w:val="none" w:sz="0" w:space="0" w:color="auto" w:frame="1"/>
        </w:rPr>
        <w:t>Module Two</w:t>
      </w:r>
      <w:r w:rsidRPr="00964EF2">
        <w:rPr>
          <w:rFonts w:ascii="Arial" w:eastAsia="Times New Roman" w:hAnsi="Arial" w:cs="Arial"/>
          <w:szCs w:val="29"/>
        </w:rPr>
        <w:t>, you will submit drafts of two critical elements of your final project:</w:t>
      </w:r>
    </w:p>
    <w:p w:rsidR="002F63E0" w:rsidRPr="00964EF2" w:rsidRDefault="002F63E0" w:rsidP="002F63E0">
      <w:pPr>
        <w:shd w:val="clear" w:color="auto" w:fill="FFFFFF"/>
        <w:spacing w:after="240" w:line="420" w:lineRule="atLeast"/>
        <w:rPr>
          <w:rFonts w:ascii="Arial" w:eastAsia="Times New Roman" w:hAnsi="Arial" w:cs="Arial"/>
          <w:szCs w:val="29"/>
        </w:rPr>
      </w:pPr>
      <w:r w:rsidRPr="00964EF2">
        <w:rPr>
          <w:rFonts w:ascii="Arial" w:eastAsia="Times New Roman" w:hAnsi="Arial" w:cs="Arial"/>
          <w:szCs w:val="29"/>
        </w:rPr>
        <w:t>In order to complete those critical elements, you will need to first:</w:t>
      </w:r>
    </w:p>
    <w:p w:rsidR="002F63E0" w:rsidRPr="00964EF2" w:rsidRDefault="002F63E0" w:rsidP="002F63E0">
      <w:pPr>
        <w:numPr>
          <w:ilvl w:val="0"/>
          <w:numId w:val="11"/>
        </w:numPr>
        <w:shd w:val="clear" w:color="auto" w:fill="FFFFFF"/>
        <w:spacing w:before="100" w:beforeAutospacing="1" w:after="100" w:afterAutospacing="1" w:line="420" w:lineRule="atLeast"/>
        <w:ind w:left="150"/>
        <w:rPr>
          <w:rFonts w:ascii="Arial" w:eastAsia="Times New Roman" w:hAnsi="Arial" w:cs="Arial"/>
          <w:szCs w:val="29"/>
        </w:rPr>
      </w:pPr>
      <w:r w:rsidRPr="00964EF2">
        <w:rPr>
          <w:rFonts w:ascii="Arial" w:eastAsia="Times New Roman" w:hAnsi="Arial" w:cs="Arial"/>
          <w:szCs w:val="29"/>
        </w:rPr>
        <w:t>Familiarize yourself with the data provided in the Excel workbooks bird_data.xls and the documents diversity indices.pdf and veg_analyses.pdf</w:t>
      </w:r>
    </w:p>
    <w:p w:rsidR="002F63E0" w:rsidRDefault="002F63E0" w:rsidP="002F63E0">
      <w:pPr>
        <w:numPr>
          <w:ilvl w:val="0"/>
          <w:numId w:val="11"/>
        </w:numPr>
        <w:shd w:val="clear" w:color="auto" w:fill="FFFFFF"/>
        <w:spacing w:beforeAutospacing="1" w:after="0" w:line="420" w:lineRule="atLeast"/>
        <w:ind w:left="150"/>
        <w:rPr>
          <w:rFonts w:ascii="Arial" w:eastAsia="Times New Roman" w:hAnsi="Arial" w:cs="Arial"/>
          <w:szCs w:val="29"/>
        </w:rPr>
      </w:pPr>
      <w:r w:rsidRPr="00964EF2">
        <w:rPr>
          <w:rFonts w:ascii="Arial" w:eastAsia="Times New Roman" w:hAnsi="Arial" w:cs="Arial"/>
          <w:szCs w:val="29"/>
        </w:rPr>
        <w:t>Read and understand </w:t>
      </w:r>
      <w:hyperlink r:id="rId8" w:history="1">
        <w:r w:rsidRPr="00A928BF">
          <w:rPr>
            <w:rFonts w:ascii="Arial" w:eastAsia="Times New Roman" w:hAnsi="Arial" w:cs="Arial"/>
            <w:color w:val="0000FF"/>
            <w:szCs w:val="29"/>
            <w:u w:val="single"/>
            <w:bdr w:val="none" w:sz="0" w:space="0" w:color="auto" w:frame="1"/>
          </w:rPr>
          <w:t>O’Dea et al</w:t>
        </w:r>
      </w:hyperlink>
      <w:r w:rsidRPr="00964EF2">
        <w:rPr>
          <w:rFonts w:ascii="Arial" w:eastAsia="Times New Roman" w:hAnsi="Arial" w:cs="Arial"/>
          <w:szCs w:val="29"/>
        </w:rPr>
        <w:t>. (2004), especially pages 55–56</w:t>
      </w:r>
    </w:p>
    <w:p w:rsidR="00A928BF" w:rsidRDefault="00A928BF" w:rsidP="00A928BF"/>
    <w:p w:rsidR="00A928BF" w:rsidRDefault="00A928BF" w:rsidP="00A928BF">
      <w:pPr>
        <w:pStyle w:val="Heading1"/>
      </w:pPr>
      <w:bookmarkStart w:id="0" w:name="_GoBack"/>
      <w:r>
        <w:t>DISCUSSION</w:t>
      </w:r>
    </w:p>
    <w:bookmarkEnd w:id="0"/>
    <w:p w:rsidR="00A928BF" w:rsidRPr="00A928BF" w:rsidRDefault="00A928BF" w:rsidP="00A928BF"/>
    <w:p w:rsidR="00964EF2" w:rsidRDefault="00A928BF" w:rsidP="00A928BF">
      <w:pPr>
        <w:pStyle w:val="Heading1"/>
      </w:pPr>
      <w:r>
        <w:t>LITERATURE CITED</w:t>
      </w:r>
    </w:p>
    <w:p w:rsidR="00A928BF" w:rsidRPr="00A928BF" w:rsidRDefault="00A928BF" w:rsidP="00A928BF"/>
    <w:sectPr w:rsidR="00A928BF" w:rsidRPr="00A928BF"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303E6"/>
    <w:multiLevelType w:val="multilevel"/>
    <w:tmpl w:val="564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F5870"/>
    <w:multiLevelType w:val="multilevel"/>
    <w:tmpl w:val="27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13BAF"/>
    <w:multiLevelType w:val="multilevel"/>
    <w:tmpl w:val="D4568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B47730"/>
    <w:rsid w:val="000226BE"/>
    <w:rsid w:val="00034616"/>
    <w:rsid w:val="0006063C"/>
    <w:rsid w:val="0015074B"/>
    <w:rsid w:val="0029639D"/>
    <w:rsid w:val="002F63E0"/>
    <w:rsid w:val="00326F90"/>
    <w:rsid w:val="00471303"/>
    <w:rsid w:val="00472AFF"/>
    <w:rsid w:val="005C28A5"/>
    <w:rsid w:val="005C755C"/>
    <w:rsid w:val="006121F8"/>
    <w:rsid w:val="007A6649"/>
    <w:rsid w:val="00964EF2"/>
    <w:rsid w:val="009C0E8C"/>
    <w:rsid w:val="009F6A0E"/>
    <w:rsid w:val="00A928BF"/>
    <w:rsid w:val="00AA1D8D"/>
    <w:rsid w:val="00B47730"/>
    <w:rsid w:val="00CB0664"/>
    <w:rsid w:val="00EC1148"/>
    <w:rsid w:val="00F70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97176"/>
  <w14:defaultImageDpi w14:val="300"/>
  <w15:docId w15:val="{BE8825D1-1D10-48F7-8EED-D1EE4017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8B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64EF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64EF2"/>
    <w:rPr>
      <w:color w:val="0000FF"/>
      <w:u w:val="single"/>
    </w:rPr>
  </w:style>
  <w:style w:type="paragraph" w:styleId="BalloonText">
    <w:name w:val="Balloon Text"/>
    <w:basedOn w:val="Normal"/>
    <w:link w:val="BalloonTextChar"/>
    <w:uiPriority w:val="99"/>
    <w:semiHidden/>
    <w:unhideWhenUsed/>
    <w:rsid w:val="00A92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8BF"/>
    <w:rPr>
      <w:rFonts w:ascii="Segoe UI" w:hAnsi="Segoe UI" w:cs="Segoe UI"/>
      <w:sz w:val="18"/>
      <w:szCs w:val="18"/>
    </w:rPr>
  </w:style>
  <w:style w:type="paragraph" w:customStyle="1" w:styleId="ScienceNormal">
    <w:name w:val="Science Normal"/>
    <w:basedOn w:val="Normal"/>
    <w:link w:val="ScienceNormalChar"/>
    <w:qFormat/>
    <w:rsid w:val="00472AFF"/>
    <w:pPr>
      <w:tabs>
        <w:tab w:val="left" w:pos="360"/>
      </w:tabs>
    </w:pPr>
  </w:style>
  <w:style w:type="character" w:customStyle="1" w:styleId="ScienceNormalChar">
    <w:name w:val="Science Normal Char"/>
    <w:basedOn w:val="DefaultParagraphFont"/>
    <w:link w:val="ScienceNormal"/>
    <w:rsid w:val="00472A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0289">
      <w:bodyDiv w:val="1"/>
      <w:marLeft w:val="0"/>
      <w:marRight w:val="0"/>
      <w:marTop w:val="0"/>
      <w:marBottom w:val="0"/>
      <w:divBdr>
        <w:top w:val="none" w:sz="0" w:space="0" w:color="auto"/>
        <w:left w:val="none" w:sz="0" w:space="0" w:color="auto"/>
        <w:bottom w:val="none" w:sz="0" w:space="0" w:color="auto"/>
        <w:right w:val="none" w:sz="0" w:space="0" w:color="auto"/>
      </w:divBdr>
    </w:div>
    <w:div w:id="624435375">
      <w:bodyDiv w:val="1"/>
      <w:marLeft w:val="0"/>
      <w:marRight w:val="0"/>
      <w:marTop w:val="0"/>
      <w:marBottom w:val="0"/>
      <w:divBdr>
        <w:top w:val="none" w:sz="0" w:space="0" w:color="auto"/>
        <w:left w:val="none" w:sz="0" w:space="0" w:color="auto"/>
        <w:bottom w:val="none" w:sz="0" w:space="0" w:color="auto"/>
        <w:right w:val="none" w:sz="0" w:space="0" w:color="auto"/>
      </w:divBdr>
    </w:div>
    <w:div w:id="1227758342">
      <w:bodyDiv w:val="1"/>
      <w:marLeft w:val="0"/>
      <w:marRight w:val="0"/>
      <w:marTop w:val="0"/>
      <w:marBottom w:val="0"/>
      <w:divBdr>
        <w:top w:val="none" w:sz="0" w:space="0" w:color="auto"/>
        <w:left w:val="none" w:sz="0" w:space="0" w:color="auto"/>
        <w:bottom w:val="none" w:sz="0" w:space="0" w:color="auto"/>
        <w:right w:val="none" w:sz="0" w:space="0" w:color="auto"/>
      </w:divBdr>
    </w:div>
    <w:div w:id="1854755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snhu.edu/login?url=https://search.ebscohost.com/login.aspx?direct=true&amp;db=asn&amp;AN=11843725&amp;site=ehost-live&amp;scope=site" TargetMode="External"/><Relationship Id="rId3" Type="http://schemas.openxmlformats.org/officeDocument/2006/relationships/styles" Target="styles.xml"/><Relationship Id="rId7" Type="http://schemas.openxmlformats.org/officeDocument/2006/relationships/hyperlink" Target="https://ezproxy.snhu.edu/login?url=https://search.ebscohost.com/login.aspx?direct=true&amp;db=asn&amp;AN=11843725&amp;site=ehost-live&amp;scope=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1B7C6-B0F2-42AA-A54F-5ED5DA54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Isenberg</dc:creator>
  <cp:keywords/>
  <dc:description>generated by python-docx</dc:description>
  <cp:lastModifiedBy>Jacob Aimino</cp:lastModifiedBy>
  <cp:revision>2</cp:revision>
  <dcterms:created xsi:type="dcterms:W3CDTF">2023-11-05T21:45:00Z</dcterms:created>
  <dcterms:modified xsi:type="dcterms:W3CDTF">2023-11-05T21:45:00Z</dcterms:modified>
  <cp:category/>
</cp:coreProperties>
</file>