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1A2E" w:val="clear"/>
        <w:spacing w:after="0" w:before="0"/>
        <w:ind w:left="0" w:right="0"/>
        <w:jc w:val="center"/>
      </w:pPr>
      <w:r>
        <w:rPr>
          <w:rFonts w:ascii="Arial" w:cs="Arial" w:eastAsia="Arial" w:hAnsi="Arial"/>
          <w:b/>
          <w:bCs/>
          <w:color w:val="00B4D8"/>
          <w:sz w:val="52"/>
          <w:szCs w:val="52"/>
        </w:rPr>
        <w:br/>
        <w:t xml:space="preserve">Innov8Edge Academy</w:t>
      </w:r>
      <w:r>
        <w:rPr>
          <w:rFonts w:ascii="Arial" w:cs="Arial" w:eastAsia="Arial" w:hAnsi="Arial"/>
          <w:b/>
          <w:bCs/>
          <w:color w:val="FFFFFF"/>
          <w:sz w:val="36"/>
          <w:szCs w:val="36"/>
        </w:rPr>
        <w:br/>
        <w:t xml:space="preserve">QA TESTING CHECKLIST</w:t>
      </w:r>
      <w:r>
        <w:rPr>
          <w:rFonts w:ascii="Arial" w:cs="Arial" w:eastAsia="Arial" w:hAnsi="Arial"/>
          <w:color w:val="A0AEC0"/>
          <w:sz w:val="24"/>
          <w:szCs w:val="24"/>
        </w:rPr>
        <w:br/>
        <w:t xml:space="preserve">DevOps / Intern Edition</w:t>
      </w:r>
      <w:r>
        <w:rPr>
          <w:rFonts w:ascii="Arial" w:cs="Arial" w:eastAsia="Arial" w:hAnsi="Arial"/>
          <w:sz w:val="20"/>
          <w:szCs w:val="20"/>
        </w:rPr>
        <w:br/>
        <w:t xml:space="preserve"> 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Tester Name</w:t>
            </w:r>
          </w:p>
        </w:tc>
        <w:tc>
          <w:tcPr>
            <w:tcW w:type="dxa" w:w="6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of Testing</w:t>
            </w:r>
          </w:p>
        </w:tc>
        <w:tc>
          <w:tcPr>
            <w:tcW w:type="dxa" w:w="6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  Local Development     ☐  Staging     ☐  Production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Build</w:t>
            </w:r>
          </w:p>
        </w:tc>
        <w:tc>
          <w:tcPr>
            <w:tcW w:type="dxa" w:w="6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Reviewer / Sign-off</w:t>
            </w:r>
          </w:p>
        </w:tc>
        <w:tc>
          <w:tcPr>
            <w:tcW w:type="dxa" w:w="6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E0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Instructions for the QA Tester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Please work through each section below and verify functionality for the Innov8Edge Academy platform.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For each item, mark Pass (P), Fail (F), or Not Applicable (N/A) in the corresponding column.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If an item fails, document the issue in the Notes column and add a full bug report in Section 4.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Include steps to reproduce any failure so developers can replicate and resolve the issue efficiently.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= Pass  —  Feature works as expected</w:t>
            </w:r>
          </w:p>
        </w:tc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= Fail  —  Feature is broken or missing</w:t>
            </w:r>
          </w:p>
        </w:tc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N/A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= Not Applicable  —  Skip this item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hd w:fill="0F3460" w:val="clear"/>
        <w:spacing w:after="80" w:before="360"/>
        <w:ind w:left="180" w:right="1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1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Learning Paths Navigation</w:t>
      </w:r>
    </w:p>
    <w:p>
      <w:pPr>
        <w:spacing w:after="60" w:before="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Verify the Learning Paths section is accessible and all 4 tracks render correctly from the main landing page.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900"/>
        <w:gridCol w:w="900"/>
        <w:gridCol w:w="900"/>
        <w:gridCol w:w="1760"/>
      </w:tblGrid>
      <w:tr>
        <w:trPr>
          <w:tblHeader/>
        </w:trPr>
        <w:tc>
          <w:tcPr>
            <w:tcW w:type="dxa" w:w="49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Item / Description</w:t>
            </w:r>
          </w:p>
        </w:tc>
        <w:tc>
          <w:tcPr>
            <w:tcW w:type="dxa" w:w="9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  <w:tc>
          <w:tcPr>
            <w:tcW w:type="dxa" w:w="9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</w:t>
            </w:r>
          </w:p>
        </w:tc>
        <w:tc>
          <w:tcPr>
            <w:tcW w:type="dxa" w:w="9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17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Section Load — Scroll or click the navigation menu to jump to the Learning Paths section on the main landing page.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Track Visibility — Verify all 4 tracks are visible and properly styled: Beginner, Intermediate, Builder, and Business.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Beginner Track CTA — Click Start this path on the Beginner / AI Foundations track and confirm correct routing to the learning module.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Track Card Layout — Confirm each track card displays its title, description, and CTA button without overflow or clipping.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Responsive Layout — Resize the browser window to tablet (768px) and mobile (375px) widths and verify all 4 track cards remain readable and properly stacked.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/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hd w:fill="0F3460" w:val="clear"/>
        <w:spacing w:after="80" w:before="360"/>
        <w:ind w:left="180" w:right="1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2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AI Foundations (Beginner Track) — Course Loader Validation</w:t>
      </w:r>
    </w:p>
    <w:p>
      <w:pPr>
        <w:spacing w:after="60" w:before="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For each of the 9 lessons below, verify: (a) the video player renders and plays, (b) the intro text is readable, (c) the Callout Box displays with distinct background styling, and (d) the bulleted points are listed correctly.</w:t>
      </w:r>
    </w:p>
    <w:p>
      <w:pPr>
        <w:spacing w:after="80" w:before="0"/>
      </w:pPr>
      <w:r>
        <w:t xml:space="preserve"/>
      </w: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Lesson-by-Lesson Verification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900"/>
        <w:gridCol w:w="900"/>
        <w:gridCol w:w="900"/>
        <w:gridCol w:w="1760"/>
      </w:tblGrid>
      <w:tr>
        <w:trPr>
          <w:tblHeader/>
        </w:trPr>
        <w:tc>
          <w:tcPr>
            <w:tcW w:type="dxa" w:w="49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Item / Description</w:t>
            </w:r>
          </w:p>
        </w:tc>
        <w:tc>
          <w:tcPr>
            <w:tcW w:type="dxa" w:w="9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  <w:tc>
          <w:tcPr>
            <w:tcW w:type="dxa" w:w="9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</w:t>
            </w:r>
          </w:p>
        </w:tc>
        <w:tc>
          <w:tcPr>
            <w:tcW w:type="dxa" w:w="9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17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LESSON 1  |  What is AI?  (15 min)
Video URL: youtube.com/watch?v=aircAruvnKk
Expected heading: The Three Types of AI You'll Actually Use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LESSON 2  |  What is an LLM?  (20 min)
Expected heading: What Makes One LLM Different From Another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LESSON 3  |  Prompt Engineering Basics  (30 min)
Expected heading: The Four Elements of a High-Performance Prompt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LESSON 4  |  AI Memory &amp; Context  (25 min)
Expected heading: The Four Memory Strategies in Modern AI Systems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LESSON 5  |  AI Ethics &amp; Bias  (20 min)
Expected heading: The Four Sources of AI Bias to Watch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LESSON 6  |  Security &amp; Privacy  (20 min)
Expected heading: Four Security Principles for AI Systems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LESSON 7  |  Identifying AI Opportunities  (25 min)
Expected heading: Four Signals That a Task Is Ready for AI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LESSON 8  |  The AI Decision Matrix  (30 min)
Expected heading: The Four Quadrants of the AI Decision Matrix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LESSON 9  |  Building the Business Case  (35 min)
Expected heading: Four Components of a Compelling AI Business Case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/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hd w:fill="0F3460" w:val="clear"/>
        <w:spacing w:after="80" w:before="360"/>
        <w:ind w:left="180" w:right="1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3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General Lesson UI / UX</w:t>
      </w:r>
    </w:p>
    <w:p>
      <w:pPr>
        <w:spacing w:after="60" w:before="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Verify the following UI elements and user-experience flows across all lessons in the AI Foundations track.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900"/>
        <w:gridCol w:w="900"/>
        <w:gridCol w:w="900"/>
        <w:gridCol w:w="1760"/>
      </w:tblGrid>
      <w:tr>
        <w:trPr>
          <w:tblHeader/>
        </w:trPr>
        <w:tc>
          <w:tcPr>
            <w:tcW w:type="dxa" w:w="49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Item / Description</w:t>
            </w:r>
          </w:p>
        </w:tc>
        <w:tc>
          <w:tcPr>
            <w:tcW w:type="dxa" w:w="9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  <w:tc>
          <w:tcPr>
            <w:tcW w:type="dxa" w:w="9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</w:t>
            </w:r>
          </w:p>
        </w:tc>
        <w:tc>
          <w:tcPr>
            <w:tcW w:type="dxa" w:w="9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17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Duration Badge — Confirm the duration badge (e.g., 15 min) appears correctly on all 9 lesson cards.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Callout Box Styling — Verify all Callout Boxes (e.g., Mental Model: AI vs. Automation) render with a distinct background that visually separates them from normal body text.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Bulleted Point Lists — Confirm bulleted list items inside each lesson are styled correctly and fully visible.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Lesson-to-Lesson Navigation — Ensure users can transition smoothly from one lesson to the next (via Next Lesson button or nav) without page errors or broken state.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Back Navigation — Confirm the browser back button and any in-app back link returns the user to the correct previous page without breaking layout.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Video Playback Controls — Verify each embedded YouTube player displays standard controls (play, pause, volume, fullscreen) and responds correctly.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Mobile Video Render — On a mobile viewport (375px), confirm the video player scales responsively and does not overflow its container.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Heading Hierarchy — Confirm H1 / H2 heading hierarchy is visually distinct and consistent across all 9 lessons.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Font Readability — Verify body copy font size, line height, and contrast meet acceptable readability standards.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Console Errors — Open the browser Developer Tools console and confirm no JavaScript errors appear during normal lesson navigation.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Page Load Speed — Each lesson page should fully render in under 5 seconds on a standard broadband connection.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/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hd w:fill="0F3460" w:val="clear"/>
        <w:spacing w:after="80" w:before="360"/>
        <w:ind w:left="180" w:right="1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4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Failure Notes &amp; Bug Reports</w:t>
      </w:r>
    </w:p>
    <w:p>
      <w:pPr>
        <w:spacing w:after="60" w:before="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Document all failed test items below. For each bug, record the affected module, a clear description of the issue, and the exact steps needed for a developer to reproduce it. Assign a severity level: Critical, High, Medium, or Low.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2900"/>
        <w:gridCol w:w="2000"/>
        <w:gridCol w:w="660"/>
      </w:tblGrid>
      <w:tr>
        <w:trPr>
          <w:tblHeader/>
        </w:trPr>
        <w:tc>
          <w:tcPr>
            <w:tcW w:type="dxa" w:w="5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/ Module</w:t>
            </w:r>
          </w:p>
        </w:tc>
        <w:tc>
          <w:tcPr>
            <w:tcW w:type="dxa" w:w="29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 Description</w:t>
            </w:r>
          </w:p>
        </w:tc>
        <w:tc>
          <w:tcPr>
            <w:tcW w:type="dxa" w:w="20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 to Reproduce</w:t>
            </w:r>
          </w:p>
        </w:tc>
        <w:tc>
          <w:tcPr>
            <w:tcW w:type="dxa" w:w="66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rPr>
          <w:trHeight w:val="600" w:hRule="exact"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0D7DE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6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0D7DE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6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0D7DE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6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0D7DE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6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0D7DE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6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000" w:hRule="atLeast"/>
        </w:trP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Additional Notes / General Observations</w:t>
            </w:r>
          </w:p>
          <w:p>
            <w:pPr>
              <w:spacing w:after="60" w:before="0"/>
            </w:pPr>
            <w: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Intern Tester Signature</w:t>
            </w:r>
          </w:p>
          <w:p>
            <w:pPr>
              <w:pBdr>
                <w:bottom w:val="single" w:color="0F3460" w:sz="4"/>
              </w:pBdr>
              <w:spacing w:before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Date: _______________</w:t>
            </w:r>
          </w:p>
        </w:tc>
        <w:tc>
          <w:tcPr>
            <w:tcW w:type="dxa" w:w="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DevOps Reviewer Signature</w:t>
            </w:r>
          </w:p>
          <w:p>
            <w:pPr>
              <w:pBdr>
                <w:bottom w:val="single" w:color="0F3460" w:sz="4"/>
              </w:pBdr>
              <w:spacing w:before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Date: _______________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Innov8Edge, LLC  —  Internal Document  —  Do Not Distribute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4D8" w:sz="6" w:space="1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9CA3AF"/>
        <w:sz w:val="16"/>
        <w:szCs w:val="16"/>
      </w:rPr>
      <w:t xml:space="preserve">Innov8Edge, LLC  —  DevOps / QA Intern Program</w:t>
    </w:r>
    <w:r>
      <w:rPr>
        <w:rFonts w:ascii="Arial" w:cs="Arial" w:eastAsia="Arial" w:hAnsi="Arial"/>
        <w:color w:val="9CA3AF"/>
        <w:sz w:val="16"/>
        <w:szCs w:val="16"/>
      </w:rPr>
      <w:t xml:space="preserve">	Page #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4D8" w:sz="6" w:space="1"/>
      </w:pBdr>
      <w:spacing w:after="100" w:before="0"/>
    </w:pPr>
    <w:r>
      <w:rPr>
        <w:rFonts w:ascii="Arial" w:cs="Arial" w:eastAsia="Arial" w:hAnsi="Arial"/>
        <w:color w:val="9CA3AF"/>
        <w:sz w:val="16"/>
        <w:szCs w:val="16"/>
      </w:rPr>
      <w:t xml:space="preserve">INNOV8EDGE, LLC  |  Academy QA Testing Checklist  |  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2026-06-05T03:23:42.914Z</dcterms:created>
  <dcterms:modified xsi:type="dcterms:W3CDTF">2026-06-05T03:23:42.914Z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