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0" w:line="269" w:lineRule="auto"/>
        <w:jc w:val="left"/>
      </w:pPr>
      <w:r>
        <w:rPr>
          <w:rFonts w:ascii="Nimbus Sans Narrow" w:hAnsi="Nimbus Sans Narrow"/>
          <w:b/>
          <w:i w:val="0"/>
          <w:color w:val="B88A52"/>
          <w:sz w:val="20"/>
        </w:rPr>
        <w:t>MELATO</w:t>
      </w:r>
    </w:p>
    <w:p>
      <w:pPr>
        <w:keepNext/>
        <w:spacing w:before="0" w:after="40" w:line="269" w:lineRule="auto"/>
        <w:jc w:val="left"/>
      </w:pPr>
      <w:r>
        <w:rPr>
          <w:rFonts w:ascii="Nimbus Sans Narrow" w:hAnsi="Nimbus Sans Narrow"/>
          <w:b/>
          <w:i w:val="0"/>
          <w:color w:val="111111"/>
          <w:sz w:val="52"/>
        </w:rPr>
        <w:t>LIVE STORE AUDIT</w:t>
      </w:r>
    </w:p>
    <w:p>
      <w:pPr>
        <w:keepNext w:val="0"/>
        <w:spacing w:before="0" w:after="60" w:line="269" w:lineRule="auto"/>
        <w:jc w:val="left"/>
      </w:pPr>
      <w:r>
        <w:rPr>
          <w:rFonts w:ascii="Nimbus Sans" w:hAnsi="Nimbus Sans"/>
          <w:b w:val="0"/>
          <w:i w:val="0"/>
          <w:color w:val="66615B"/>
          <w:sz w:val="25"/>
        </w:rPr>
        <w:t>Conversion, trust, performance, and brand implementation brief</w:t>
      </w:r>
    </w:p>
    <w:p>
      <w:pPr>
        <w:keepNext w:val="0"/>
        <w:spacing w:before="0" w:after="140" w:line="269" w:lineRule="auto"/>
        <w:jc w:val="left"/>
        <w:pBdr>
          <w:bottom w:val="single" w:sz="10" w:space="4" w:color="B88A52"/>
        </w:pBdr>
      </w:pPr>
      <w:r>
        <w:rPr>
          <w:rFonts w:ascii="Nimbus Sans" w:hAnsi="Nimbus Sans"/>
          <w:b w:val="0"/>
          <w:i w:val="0"/>
          <w:color w:val="66615B"/>
          <w:sz w:val="17"/>
        </w:rPr>
        <w:t>Public live-site review  |  melato.ca  |  Audited July 18, 2026</w:t>
      </w:r>
    </w:p>
    <w:p>
      <w:pPr>
        <w:keepNext w:val="0"/>
        <w:spacing w:before="60" w:after="160" w:line="259" w:lineRule="auto"/>
        <w:ind w:left="115" w:right="115"/>
        <w:jc w:val="left"/>
        <w:shd w:fill="F4EAD8"/>
        <w:pBdr>
          <w:top w:val="single" w:sz="8" w:space="5" w:color="B88A52"/>
          <w:left w:val="single" w:sz="8" w:space="5" w:color="B88A52"/>
          <w:bottom w:val="single" w:sz="8" w:space="5" w:color="B88A52"/>
          <w:right w:val="single" w:sz="8" w:space="5" w:color="B88A52"/>
        </w:pBdr>
      </w:pPr>
      <w:r>
        <w:rPr>
          <w:rFonts w:ascii="Nimbus Sans" w:hAnsi="Nimbus Sans"/>
          <w:b/>
          <w:i w:val="0"/>
          <w:color w:val="111111"/>
          <w:sz w:val="20"/>
        </w:rPr>
        <w:t>EXECUTIVE VERDICT  The visual system and flagship product pages are strong. The largest immediate revenue risks are mobile loading, sold-out merchandising, fit uncertainty, and a misrouted returns email link.</w:t>
      </w:r>
    </w:p>
    <w:p>
      <w:pPr>
        <w:pStyle w:val="Heading1"/>
      </w:pPr>
      <w:r>
        <w:t>CURRENT STATE</w:t>
      </w:r>
    </w:p>
    <w:tbl>
      <w:tblPr>
        <w:tblW w:type="dxa" w:w="8878"/>
        <w:jc w:val="left"/>
        <w:tblLayout w:type="fixed"/>
        <w:tblLook w:firstColumn="1" w:firstRow="1" w:lastColumn="0" w:lastRow="0" w:noHBand="0" w:noVBand="1" w:val="04A0"/>
        <w:tblInd w:w="120" w:type="dxa"/>
        <w:tblBorders>
          <w:top w:val="single" w:sz="6" w:space="0" w:color="D9D3C9"/>
          <w:left w:val="single" w:sz="6" w:space="0" w:color="D9D3C9"/>
          <w:bottom w:val="single" w:sz="6" w:space="0" w:color="D9D3C9"/>
          <w:right w:val="single" w:sz="6" w:space="0" w:color="D9D3C9"/>
          <w:insideH w:val="single" w:sz="6" w:space="0" w:color="D9D3C9"/>
          <w:insideV w:val="single" w:sz="6" w:space="0" w:color="D9D3C9"/>
        </w:tblBorders>
      </w:tblPr>
      <w:tblGrid>
        <w:gridCol w:w="1300"/>
        <w:gridCol w:w="3050"/>
        <w:gridCol w:w="1100"/>
        <w:gridCol w:w="3428"/>
      </w:tblGrid>
      <w:tr>
        <w:trPr>
          <w:tblHeader w:val="true"/>
        </w:trPr>
        <w:tc>
          <w:tcPr>
            <w:tcW w:type="dxa" w:w="1300"/>
            <w:vAlign w:val="center"/>
            <w:tcMar>
              <w:top w:w="80" w:type="dxa"/>
              <w:start w:w="120" w:type="dxa"/>
              <w:bottom w:w="80" w:type="dxa"/>
              <w:end w:w="120" w:type="dxa"/>
            </w:tcMar>
            <w:shd w:fill="111111"/>
          </w:tcPr>
          <w:p>
            <w:pPr>
              <w:spacing w:before="0" w:after="0" w:line="252" w:lineRule="auto"/>
              <w:jc w:val="left"/>
            </w:pPr>
            <w:r/>
            <w:r>
              <w:rPr>
                <w:rFonts w:ascii="Nimbus Sans Narrow" w:hAnsi="Nimbus Sans Narrow"/>
                <w:b/>
                <w:i w:val="0"/>
                <w:color w:val="F4EAD8"/>
                <w:sz w:val="16"/>
              </w:rPr>
              <w:t>AREA</w:t>
            </w:r>
          </w:p>
        </w:tc>
        <w:tc>
          <w:tcPr>
            <w:tcW w:type="dxa" w:w="3050"/>
            <w:vAlign w:val="center"/>
            <w:tcMar>
              <w:top w:w="80" w:type="dxa"/>
              <w:start w:w="120" w:type="dxa"/>
              <w:bottom w:w="80" w:type="dxa"/>
              <w:end w:w="120" w:type="dxa"/>
            </w:tcMar>
            <w:shd w:fill="111111"/>
          </w:tcPr>
          <w:p>
            <w:pPr>
              <w:spacing w:before="0" w:after="0" w:line="252" w:lineRule="auto"/>
              <w:jc w:val="left"/>
            </w:pPr>
            <w:r/>
            <w:r>
              <w:rPr>
                <w:rFonts w:ascii="Nimbus Sans Narrow" w:hAnsi="Nimbus Sans Narrow"/>
                <w:b/>
                <w:i w:val="0"/>
                <w:color w:val="F4EAD8"/>
                <w:sz w:val="16"/>
              </w:rPr>
              <w:t>VERIFIED SIGNAL</w:t>
            </w:r>
          </w:p>
        </w:tc>
        <w:tc>
          <w:tcPr>
            <w:tcW w:type="dxa" w:w="1100"/>
            <w:vAlign w:val="center"/>
            <w:tcMar>
              <w:top w:w="80" w:type="dxa"/>
              <w:start w:w="120" w:type="dxa"/>
              <w:bottom w:w="80" w:type="dxa"/>
              <w:end w:w="120" w:type="dxa"/>
            </w:tcMar>
            <w:shd w:fill="111111"/>
          </w:tcPr>
          <w:p>
            <w:pPr>
              <w:spacing w:before="0" w:after="0" w:line="252" w:lineRule="auto"/>
              <w:jc w:val="left"/>
            </w:pPr>
            <w:r/>
            <w:r>
              <w:rPr>
                <w:rFonts w:ascii="Nimbus Sans Narrow" w:hAnsi="Nimbus Sans Narrow"/>
                <w:b/>
                <w:i w:val="0"/>
                <w:color w:val="F4EAD8"/>
                <w:sz w:val="16"/>
              </w:rPr>
              <w:t>STATE</w:t>
            </w:r>
          </w:p>
        </w:tc>
        <w:tc>
          <w:tcPr>
            <w:tcW w:type="dxa" w:w="3428"/>
            <w:vAlign w:val="center"/>
            <w:tcMar>
              <w:top w:w="80" w:type="dxa"/>
              <w:start w:w="120" w:type="dxa"/>
              <w:bottom w:w="80" w:type="dxa"/>
              <w:end w:w="120" w:type="dxa"/>
            </w:tcMar>
            <w:shd w:fill="111111"/>
          </w:tcPr>
          <w:p>
            <w:pPr>
              <w:spacing w:before="0" w:after="0" w:line="252" w:lineRule="auto"/>
              <w:jc w:val="left"/>
            </w:pPr>
            <w:r/>
            <w:r>
              <w:rPr>
                <w:rFonts w:ascii="Nimbus Sans Narrow" w:hAnsi="Nimbus Sans Narrow"/>
                <w:b/>
                <w:i w:val="0"/>
                <w:color w:val="F4EAD8"/>
                <w:sz w:val="16"/>
              </w:rPr>
              <w:t>BUSINESS RISK</w:t>
            </w:r>
          </w:p>
        </w:tc>
      </w:tr>
      <w:tr>
        <w:tc>
          <w:tcPr>
            <w:tcW w:type="dxa" w:w="1300"/>
            <w:shd w:fill="F3F1ED"/>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111111"/>
                <w:sz w:val="16"/>
              </w:rPr>
              <w:t>Conversion</w:t>
            </w:r>
          </w:p>
        </w:tc>
        <w:tc>
          <w:tcPr>
            <w:tcW w:type="dxa" w:w="3050"/>
            <w:shd w:fill="F3F1ED"/>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6"/>
              </w:rPr>
              <w:t>10 of 12 products in the homepage core rail are sold out; 29 of 67 catalogue products are sold out.</w:t>
            </w:r>
          </w:p>
        </w:tc>
        <w:tc>
          <w:tcPr>
            <w:tcW w:type="dxa" w:w="1100"/>
            <w:shd w:fill="F3F1ED"/>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111111"/>
                <w:sz w:val="16"/>
              </w:rPr>
              <w:t>MIXED</w:t>
            </w:r>
          </w:p>
        </w:tc>
        <w:tc>
          <w:tcPr>
            <w:tcW w:type="dxa" w:w="3428"/>
            <w:shd w:fill="F3F1ED"/>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6"/>
              </w:rPr>
              <w:t>Scarcity reads as unavailable inventory when sold-out items dominate the first shopping path.</w:t>
            </w:r>
          </w:p>
        </w:tc>
      </w:tr>
      <w:tr>
        <w:tc>
          <w:tcPr>
            <w:tcW w:type="dxa" w:w="1300"/>
            <w:shd w:fill="FFFFFF"/>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111111"/>
                <w:sz w:val="16"/>
              </w:rPr>
              <w:t>Trust</w:t>
            </w:r>
          </w:p>
        </w:tc>
        <w:tc>
          <w:tcPr>
            <w:tcW w:type="dxa" w:w="3050"/>
            <w:shd w:fill="FFFFFF"/>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6"/>
              </w:rPr>
              <w:t>Shipping terms are clear, but returns links display support@melato.ca while opening orders@melato.ca.</w:t>
            </w:r>
          </w:p>
        </w:tc>
        <w:tc>
          <w:tcPr>
            <w:tcW w:type="dxa" w:w="1100"/>
            <w:shd w:fill="FFFFFF"/>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111111"/>
                <w:sz w:val="16"/>
              </w:rPr>
              <w:t>MIXED</w:t>
            </w:r>
          </w:p>
        </w:tc>
        <w:tc>
          <w:tcPr>
            <w:tcW w:type="dxa" w:w="3428"/>
            <w:shd w:fill="FFFFFF"/>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6"/>
              </w:rPr>
              <w:t>A return request can be sent to the wrong inbox at the highest-friction moment.</w:t>
            </w:r>
          </w:p>
        </w:tc>
      </w:tr>
      <w:tr>
        <w:tc>
          <w:tcPr>
            <w:tcW w:type="dxa" w:w="1300"/>
            <w:shd w:fill="F3F1ED"/>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111111"/>
                <w:sz w:val="16"/>
              </w:rPr>
              <w:t>Performance</w:t>
            </w:r>
          </w:p>
        </w:tc>
        <w:tc>
          <w:tcPr>
            <w:tcW w:type="dxa" w:w="3050"/>
            <w:shd w:fill="F3F1ED"/>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6"/>
              </w:rPr>
              <w:t>Homepage Lighthouse: mobile 54 with 12.3 s LCP; desktop 97 with 1.0 s LCP.</w:t>
            </w:r>
          </w:p>
        </w:tc>
        <w:tc>
          <w:tcPr>
            <w:tcW w:type="dxa" w:w="1100"/>
            <w:shd w:fill="F3F1ED"/>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9B2C2C"/>
                <w:sz w:val="16"/>
              </w:rPr>
              <w:t>SPLIT</w:t>
            </w:r>
          </w:p>
        </w:tc>
        <w:tc>
          <w:tcPr>
            <w:tcW w:type="dxa" w:w="3428"/>
            <w:shd w:fill="F3F1ED"/>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6"/>
              </w:rPr>
              <w:t>The mobile experience is the material risk; desktop should be preserved.</w:t>
            </w:r>
          </w:p>
        </w:tc>
      </w:tr>
      <w:tr>
        <w:tc>
          <w:tcPr>
            <w:tcW w:type="dxa" w:w="1300"/>
            <w:shd w:fill="FFFFFF"/>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111111"/>
                <w:sz w:val="16"/>
              </w:rPr>
              <w:t>Brand</w:t>
            </w:r>
          </w:p>
        </w:tc>
        <w:tc>
          <w:tcPr>
            <w:tcW w:type="dxa" w:w="3050"/>
            <w:shd w:fill="FFFFFF"/>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6"/>
              </w:rPr>
              <w:t>Cohesive black, cream, bronze system and strong product imagery. Homepage hero and Story page are text-heavy.</w:t>
            </w:r>
          </w:p>
        </w:tc>
        <w:tc>
          <w:tcPr>
            <w:tcW w:type="dxa" w:w="1100"/>
            <w:shd w:fill="FFFFFF"/>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2F6847"/>
                <w:sz w:val="16"/>
              </w:rPr>
              <w:t>STRONG</w:t>
            </w:r>
          </w:p>
        </w:tc>
        <w:tc>
          <w:tcPr>
            <w:tcW w:type="dxa" w:w="3428"/>
            <w:shd w:fill="FFFFFF"/>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6"/>
              </w:rPr>
              <w:t>Presentation is distinct, but product proof arrives later than the brand claim.</w:t>
            </w:r>
          </w:p>
        </w:tc>
      </w:tr>
    </w:tbl>
    <w:p>
      <w:pPr>
        <w:pStyle w:val="Heading1"/>
      </w:pPr>
      <w:r>
        <w:t>DO THESE FIRST</w:t>
      </w:r>
    </w:p>
    <w:p>
      <w:pPr>
        <w:keepNext/>
        <w:spacing w:before="80" w:after="40"/>
      </w:pPr>
      <w:r>
        <w:rPr>
          <w:rFonts w:ascii="Nimbus Sans Narrow" w:hAnsi="Nimbus Sans Narrow"/>
          <w:b/>
          <w:i w:val="0"/>
          <w:color w:val="9B2C2C"/>
          <w:sz w:val="18"/>
        </w:rPr>
        <w:t xml:space="preserve">P0.1  </w:t>
      </w:r>
      <w:r>
        <w:rPr>
          <w:rFonts w:ascii="Nimbus Sans Narrow" w:hAnsi="Nimbus Sans Narrow"/>
          <w:b/>
          <w:i w:val="0"/>
          <w:color w:val="111111"/>
          <w:sz w:val="22"/>
        </w:rPr>
        <w:t>Fix mobile LCP</w:t>
      </w:r>
    </w:p>
    <w:p>
      <w:pPr>
        <w:keepNext w:val="0"/>
        <w:spacing w:before="0" w:after="80" w:line="259" w:lineRule="auto"/>
        <w:jc w:val="left"/>
      </w:pPr>
      <w:r>
        <w:rPr>
          <w:rFonts w:ascii="Nimbus Sans" w:hAnsi="Nimbus Sans"/>
          <w:b w:val="0"/>
          <w:i w:val="0"/>
          <w:color w:val="66615B"/>
          <w:sz w:val="18"/>
        </w:rPr>
        <w:t>Trace the homepage LCP element, remove animation or script gating, defer non-critical apps, reduce render-blocking requests, and remove unused JavaScript. Preserve desktop performance.</w:t>
      </w:r>
    </w:p>
    <w:p>
      <w:pPr>
        <w:keepNext/>
        <w:spacing w:before="80" w:after="40"/>
      </w:pPr>
      <w:r>
        <w:rPr>
          <w:rFonts w:ascii="Nimbus Sans Narrow" w:hAnsi="Nimbus Sans Narrow"/>
          <w:b/>
          <w:i w:val="0"/>
          <w:color w:val="9B2C2C"/>
          <w:sz w:val="18"/>
        </w:rPr>
        <w:t xml:space="preserve">P0.2  </w:t>
      </w:r>
      <w:r>
        <w:rPr>
          <w:rFonts w:ascii="Nimbus Sans Narrow" w:hAnsi="Nimbus Sans Narrow"/>
          <w:b/>
          <w:i w:val="0"/>
          <w:color w:val="111111"/>
          <w:sz w:val="22"/>
        </w:rPr>
        <w:t>Stop leading with unavailable products</w:t>
      </w:r>
    </w:p>
    <w:p>
      <w:pPr>
        <w:keepNext w:val="0"/>
        <w:spacing w:before="0" w:after="80" w:line="259" w:lineRule="auto"/>
        <w:jc w:val="left"/>
      </w:pPr>
      <w:r>
        <w:rPr>
          <w:rFonts w:ascii="Nimbus Sans" w:hAnsi="Nimbus Sans"/>
          <w:b w:val="0"/>
          <w:i w:val="0"/>
          <w:color w:val="66615B"/>
          <w:sz w:val="18"/>
        </w:rPr>
        <w:t>Rebuild homepage rails around current in-stock drops, change catalogue default sorting from A-Z to Featured or Newest, place sold-out products last, and reconcile filter counts.</w:t>
      </w:r>
    </w:p>
    <w:p>
      <w:pPr>
        <w:keepNext/>
        <w:spacing w:before="80" w:after="40"/>
      </w:pPr>
      <w:r>
        <w:rPr>
          <w:rFonts w:ascii="Nimbus Sans Narrow" w:hAnsi="Nimbus Sans Narrow"/>
          <w:b/>
          <w:i w:val="0"/>
          <w:color w:val="9B2C2C"/>
          <w:sz w:val="18"/>
        </w:rPr>
        <w:t xml:space="preserve">P0.3  </w:t>
      </w:r>
      <w:r>
        <w:rPr>
          <w:rFonts w:ascii="Nimbus Sans Narrow" w:hAnsi="Nimbus Sans Narrow"/>
          <w:b/>
          <w:i w:val="0"/>
          <w:color w:val="111111"/>
          <w:sz w:val="22"/>
        </w:rPr>
        <w:t>Add measurable size guidance</w:t>
      </w:r>
    </w:p>
    <w:p>
      <w:pPr>
        <w:keepNext w:val="0"/>
        <w:spacing w:before="0" w:after="80" w:line="259" w:lineRule="auto"/>
        <w:jc w:val="left"/>
      </w:pPr>
      <w:r>
        <w:rPr>
          <w:rFonts w:ascii="Nimbus Sans" w:hAnsi="Nimbus Sans"/>
          <w:b w:val="0"/>
          <w:i w:val="0"/>
          <w:color w:val="66615B"/>
          <w:sz w:val="18"/>
        </w:rPr>
        <w:t>Place category-specific body and garment measurements beside the size selector. The Fit Concierge currently recommends a letter size without measurements, while the FAQ tells shoppers to use a size guide that was not visible on sampled product pages.</w:t>
      </w:r>
    </w:p>
    <w:p>
      <w:pPr>
        <w:keepNext/>
        <w:spacing w:before="80" w:after="40"/>
      </w:pPr>
      <w:r>
        <w:rPr>
          <w:rFonts w:ascii="Nimbus Sans Narrow" w:hAnsi="Nimbus Sans Narrow"/>
          <w:b/>
          <w:i w:val="0"/>
          <w:color w:val="9B2C2C"/>
          <w:sz w:val="18"/>
        </w:rPr>
        <w:t xml:space="preserve">P0.4  </w:t>
      </w:r>
      <w:r>
        <w:rPr>
          <w:rFonts w:ascii="Nimbus Sans Narrow" w:hAnsi="Nimbus Sans Narrow"/>
          <w:b/>
          <w:i w:val="0"/>
          <w:color w:val="111111"/>
          <w:sz w:val="22"/>
        </w:rPr>
        <w:t>Correct the returns email target</w:t>
      </w:r>
    </w:p>
    <w:p>
      <w:pPr>
        <w:keepNext w:val="0"/>
        <w:spacing w:before="0" w:after="80" w:line="259" w:lineRule="auto"/>
        <w:jc w:val="left"/>
      </w:pPr>
      <w:r>
        <w:rPr>
          <w:rFonts w:ascii="Nimbus Sans" w:hAnsi="Nimbus Sans"/>
          <w:b w:val="0"/>
          <w:i w:val="0"/>
          <w:color w:val="66615B"/>
          <w:sz w:val="18"/>
        </w:rPr>
        <w:t>Make every visible support@melato.ca link open mailto:support@melato.ca, then test all return, FAQ, contact, and policy links.</w:t>
      </w:r>
    </w:p>
    <w:p>
      <w:r>
        <w:br w:type="page"/>
      </w:r>
    </w:p>
    <w:p>
      <w:pPr>
        <w:keepNext w:val="0"/>
        <w:spacing w:before="0" w:after="60" w:line="269" w:lineRule="auto"/>
        <w:jc w:val="left"/>
      </w:pPr>
      <w:r>
        <w:rPr>
          <w:rFonts w:ascii="Nimbus Sans Narrow" w:hAnsi="Nimbus Sans Narrow"/>
          <w:b/>
          <w:i w:val="0"/>
          <w:color w:val="B88A52"/>
          <w:sz w:val="20"/>
        </w:rPr>
        <w:t>IMPLEMENTATION</w:t>
      </w:r>
    </w:p>
    <w:p>
      <w:pPr>
        <w:keepNext w:val="0"/>
        <w:spacing w:before="0" w:after="40" w:line="269" w:lineRule="auto"/>
        <w:jc w:val="left"/>
      </w:pPr>
      <w:r>
        <w:rPr>
          <w:rFonts w:ascii="Nimbus Sans Narrow" w:hAnsi="Nimbus Sans Narrow"/>
          <w:b/>
          <w:i w:val="0"/>
          <w:color w:val="111111"/>
          <w:sz w:val="46"/>
        </w:rPr>
        <w:t>PRIORITIZED BUILD BRIEF</w:t>
      </w:r>
    </w:p>
    <w:p>
      <w:pPr>
        <w:keepNext w:val="0"/>
        <w:spacing w:before="0" w:after="140" w:line="269" w:lineRule="auto"/>
        <w:jc w:val="left"/>
      </w:pPr>
      <w:r>
        <w:rPr>
          <w:rFonts w:ascii="Nimbus Sans" w:hAnsi="Nimbus Sans"/>
          <w:b w:val="0"/>
          <w:i w:val="0"/>
          <w:color w:val="66615B"/>
          <w:sz w:val="21"/>
        </w:rPr>
        <w:t>Theme and merchandising work ordered by expected conversion and trust impact.</w:t>
      </w:r>
    </w:p>
    <w:tbl>
      <w:tblPr>
        <w:tblW w:type="dxa" w:w="9878"/>
        <w:jc w:val="left"/>
        <w:tblLayout w:type="fixed"/>
        <w:tblLook w:firstColumn="1" w:firstRow="1" w:lastColumn="0" w:lastRow="0" w:noHBand="0" w:noVBand="1" w:val="04A0"/>
        <w:tblInd w:w="120" w:type="dxa"/>
        <w:tblBorders>
          <w:top w:val="single" w:sz="6" w:space="0" w:color="D9D3C9"/>
          <w:left w:val="single" w:sz="6" w:space="0" w:color="D9D3C9"/>
          <w:bottom w:val="single" w:sz="6" w:space="0" w:color="D9D3C9"/>
          <w:right w:val="single" w:sz="6" w:space="0" w:color="D9D3C9"/>
          <w:insideH w:val="single" w:sz="6" w:space="0" w:color="D9D3C9"/>
          <w:insideV w:val="single" w:sz="6" w:space="0" w:color="D9D3C9"/>
        </w:tblBorders>
      </w:tblPr>
      <w:tblGrid>
        <w:gridCol w:w="650"/>
        <w:gridCol w:w="1050"/>
        <w:gridCol w:w="3660"/>
        <w:gridCol w:w="4518"/>
      </w:tblGrid>
      <w:tr>
        <w:trPr>
          <w:tblHeader w:val="true"/>
        </w:trPr>
        <w:tc>
          <w:tcPr>
            <w:tcW w:type="dxa" w:w="650"/>
            <w:vAlign w:val="center"/>
            <w:tcMar>
              <w:top w:w="80" w:type="dxa"/>
              <w:start w:w="120" w:type="dxa"/>
              <w:bottom w:w="80" w:type="dxa"/>
              <w:end w:w="120" w:type="dxa"/>
            </w:tcMar>
            <w:shd w:fill="111111"/>
          </w:tcPr>
          <w:p>
            <w:pPr>
              <w:spacing w:before="0" w:after="0" w:line="252" w:lineRule="auto"/>
              <w:jc w:val="left"/>
            </w:pPr>
            <w:r/>
            <w:r>
              <w:rPr>
                <w:rFonts w:ascii="Nimbus Sans Narrow" w:hAnsi="Nimbus Sans Narrow"/>
                <w:b/>
                <w:i w:val="0"/>
                <w:color w:val="F4EAD8"/>
                <w:sz w:val="16"/>
              </w:rPr>
              <w:t>PRI</w:t>
            </w:r>
          </w:p>
        </w:tc>
        <w:tc>
          <w:tcPr>
            <w:tcW w:type="dxa" w:w="1050"/>
            <w:vAlign w:val="center"/>
            <w:tcMar>
              <w:top w:w="80" w:type="dxa"/>
              <w:start w:w="120" w:type="dxa"/>
              <w:bottom w:w="80" w:type="dxa"/>
              <w:end w:w="120" w:type="dxa"/>
            </w:tcMar>
            <w:shd w:fill="111111"/>
          </w:tcPr>
          <w:p>
            <w:pPr>
              <w:spacing w:before="0" w:after="0" w:line="252" w:lineRule="auto"/>
              <w:jc w:val="left"/>
            </w:pPr>
            <w:r/>
            <w:r>
              <w:rPr>
                <w:rFonts w:ascii="Nimbus Sans Narrow" w:hAnsi="Nimbus Sans Narrow"/>
                <w:b/>
                <w:i w:val="0"/>
                <w:color w:val="F4EAD8"/>
                <w:sz w:val="16"/>
              </w:rPr>
              <w:t>OWNER</w:t>
            </w:r>
          </w:p>
        </w:tc>
        <w:tc>
          <w:tcPr>
            <w:tcW w:type="dxa" w:w="3660"/>
            <w:vAlign w:val="center"/>
            <w:tcMar>
              <w:top w:w="80" w:type="dxa"/>
              <w:start w:w="120" w:type="dxa"/>
              <w:bottom w:w="80" w:type="dxa"/>
              <w:end w:w="120" w:type="dxa"/>
            </w:tcMar>
            <w:shd w:fill="111111"/>
          </w:tcPr>
          <w:p>
            <w:pPr>
              <w:spacing w:before="0" w:after="0" w:line="252" w:lineRule="auto"/>
              <w:jc w:val="left"/>
            </w:pPr>
            <w:r/>
            <w:r>
              <w:rPr>
                <w:rFonts w:ascii="Nimbus Sans Narrow" w:hAnsi="Nimbus Sans Narrow"/>
                <w:b/>
                <w:i w:val="0"/>
                <w:color w:val="F4EAD8"/>
                <w:sz w:val="16"/>
              </w:rPr>
              <w:t>IMPLEMENT</w:t>
            </w:r>
          </w:p>
        </w:tc>
        <w:tc>
          <w:tcPr>
            <w:tcW w:type="dxa" w:w="4518"/>
            <w:vAlign w:val="center"/>
            <w:tcMar>
              <w:top w:w="80" w:type="dxa"/>
              <w:start w:w="120" w:type="dxa"/>
              <w:bottom w:w="80" w:type="dxa"/>
              <w:end w:w="120" w:type="dxa"/>
            </w:tcMar>
            <w:shd w:fill="111111"/>
          </w:tcPr>
          <w:p>
            <w:pPr>
              <w:spacing w:before="0" w:after="0" w:line="252" w:lineRule="auto"/>
              <w:jc w:val="left"/>
            </w:pPr>
            <w:r/>
            <w:r>
              <w:rPr>
                <w:rFonts w:ascii="Nimbus Sans Narrow" w:hAnsi="Nimbus Sans Narrow"/>
                <w:b/>
                <w:i w:val="0"/>
                <w:color w:val="F4EAD8"/>
                <w:sz w:val="16"/>
              </w:rPr>
              <w:t>ACCEPTANCE CHECK</w:t>
            </w:r>
          </w:p>
        </w:tc>
      </w:tr>
      <w:tr>
        <w:tc>
          <w:tcPr>
            <w:tcW w:type="dxa" w:w="650"/>
            <w:shd w:fill="FFFFFF"/>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9B2C2C"/>
                <w:sz w:val="16"/>
              </w:rPr>
              <w:t>P0</w:t>
            </w:r>
          </w:p>
        </w:tc>
        <w:tc>
          <w:tcPr>
            <w:tcW w:type="dxa" w:w="1050"/>
            <w:shd w:fill="FFFFFF"/>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111111"/>
                <w:sz w:val="16"/>
              </w:rPr>
              <w:t>Theme</w:t>
            </w:r>
          </w:p>
        </w:tc>
        <w:tc>
          <w:tcPr>
            <w:tcW w:type="dxa" w:w="3660"/>
            <w:shd w:fill="FFFFFF"/>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6"/>
              </w:rPr>
              <w:t>Profile the homepage LCP. Preload only the LCP asset, remove reveal delays, defer non-critical app scripts, cut unused JS, and reduce excessive preconnects.</w:t>
            </w:r>
          </w:p>
        </w:tc>
        <w:tc>
          <w:tcPr>
            <w:tcW w:type="dxa" w:w="4518"/>
            <w:shd w:fill="FFFFFF"/>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6"/>
              </w:rPr>
              <w:t>Median of 3 mobile Lighthouse runs: score 80+ and LCP at or below 2.5 s. Desktop remains 90+.</w:t>
            </w:r>
          </w:p>
        </w:tc>
      </w:tr>
      <w:tr>
        <w:tc>
          <w:tcPr>
            <w:tcW w:type="dxa" w:w="650"/>
            <w:shd w:fill="F3F1ED"/>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9B2C2C"/>
                <w:sz w:val="16"/>
              </w:rPr>
              <w:t>P0</w:t>
            </w:r>
          </w:p>
        </w:tc>
        <w:tc>
          <w:tcPr>
            <w:tcW w:type="dxa" w:w="1050"/>
            <w:shd w:fill="F3F1ED"/>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111111"/>
                <w:sz w:val="16"/>
              </w:rPr>
              <w:t>Ecom + Theme</w:t>
            </w:r>
          </w:p>
        </w:tc>
        <w:tc>
          <w:tcPr>
            <w:tcW w:type="dxa" w:w="3660"/>
            <w:shd w:fill="F3F1ED"/>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6"/>
              </w:rPr>
              <w:t>Use a curated in-stock homepage collection. Default collection sorting to Featured or Newest. Push sold-out items after purchasable inventory. Repair availability and duplicate category counts.</w:t>
            </w:r>
          </w:p>
        </w:tc>
        <w:tc>
          <w:tcPr>
            <w:tcW w:type="dxa" w:w="4518"/>
            <w:shd w:fill="F3F1ED"/>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6"/>
              </w:rPr>
              <w:t>Homepage core rail is at least 80% purchasable. Product-level filter totals reconcile to 67 and duplicate labels are removed.</w:t>
            </w:r>
          </w:p>
        </w:tc>
      </w:tr>
      <w:tr>
        <w:tc>
          <w:tcPr>
            <w:tcW w:type="dxa" w:w="650"/>
            <w:shd w:fill="FFFFFF"/>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9B2C2C"/>
                <w:sz w:val="16"/>
              </w:rPr>
              <w:t>P0</w:t>
            </w:r>
          </w:p>
        </w:tc>
        <w:tc>
          <w:tcPr>
            <w:tcW w:type="dxa" w:w="1050"/>
            <w:shd w:fill="FFFFFF"/>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111111"/>
                <w:sz w:val="16"/>
              </w:rPr>
              <w:t>Merch + Theme</w:t>
            </w:r>
          </w:p>
        </w:tc>
        <w:tc>
          <w:tcPr>
            <w:tcW w:type="dxa" w:w="3660"/>
            <w:shd w:fill="FFFFFF"/>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6"/>
              </w:rPr>
              <w:t>Create category size-chart and garment-measurement metafields. Add a Size guide control beside selectors. Standardize fit notes and fiber composition across clothing PDPs.</w:t>
            </w:r>
          </w:p>
        </w:tc>
        <w:tc>
          <w:tcPr>
            <w:tcW w:type="dxa" w:w="4518"/>
            <w:shd w:fill="FFFFFF"/>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6"/>
              </w:rPr>
              <w:t>Every purchasable clothing PDP shows body guidance, garment measurements, fit direction, and exact fiber percentages where known.</w:t>
            </w:r>
          </w:p>
        </w:tc>
      </w:tr>
      <w:tr>
        <w:tc>
          <w:tcPr>
            <w:tcW w:type="dxa" w:w="650"/>
            <w:shd w:fill="F3F1ED"/>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9B2C2C"/>
                <w:sz w:val="16"/>
              </w:rPr>
              <w:t>P0</w:t>
            </w:r>
          </w:p>
        </w:tc>
        <w:tc>
          <w:tcPr>
            <w:tcW w:type="dxa" w:w="1050"/>
            <w:shd w:fill="F3F1ED"/>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111111"/>
                <w:sz w:val="16"/>
              </w:rPr>
              <w:t>Ops + Theme</w:t>
            </w:r>
          </w:p>
        </w:tc>
        <w:tc>
          <w:tcPr>
            <w:tcW w:type="dxa" w:w="3660"/>
            <w:shd w:fill="F3F1ED"/>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6"/>
              </w:rPr>
              <w:t>Standardize support@melato.ca for order, return, and exchange support. Correct the refund-policy mailto target and audit all contact links.</w:t>
            </w:r>
          </w:p>
        </w:tc>
        <w:tc>
          <w:tcPr>
            <w:tcW w:type="dxa" w:w="4518"/>
            <w:shd w:fill="F3F1ED"/>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6"/>
              </w:rPr>
              <w:t>Visible email and underlying destination match on every audited page. Test from desktop and mobile.</w:t>
            </w:r>
          </w:p>
        </w:tc>
      </w:tr>
      <w:tr>
        <w:tc>
          <w:tcPr>
            <w:tcW w:type="dxa" w:w="650"/>
            <w:shd w:fill="FFFFFF"/>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B88A52"/>
                <w:sz w:val="16"/>
              </w:rPr>
              <w:t>P1</w:t>
            </w:r>
          </w:p>
        </w:tc>
        <w:tc>
          <w:tcPr>
            <w:tcW w:type="dxa" w:w="1050"/>
            <w:shd w:fill="FFFFFF"/>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111111"/>
                <w:sz w:val="16"/>
              </w:rPr>
              <w:t>CRO + Theme</w:t>
            </w:r>
          </w:p>
        </w:tc>
        <w:tc>
          <w:tcPr>
            <w:tcW w:type="dxa" w:w="3660"/>
            <w:shd w:fill="FFFFFF"/>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6"/>
              </w:rPr>
              <w:t>Move verified rating and review count under the product title or price. Add one compact review excerpt near the CTA. Consolidate duplicate complete-the-set modules.</w:t>
            </w:r>
          </w:p>
        </w:tc>
        <w:tc>
          <w:tcPr>
            <w:tcW w:type="dxa" w:w="4518"/>
            <w:shd w:fill="FFFFFF"/>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6"/>
              </w:rPr>
              <w:t>Social proof is visible before Add to cart without scrolling. Only one matching-set module appears on the Hargneux PDP.</w:t>
            </w:r>
          </w:p>
        </w:tc>
      </w:tr>
      <w:tr>
        <w:tc>
          <w:tcPr>
            <w:tcW w:type="dxa" w:w="650"/>
            <w:shd w:fill="F3F1ED"/>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B88A52"/>
                <w:sz w:val="16"/>
              </w:rPr>
              <w:t>P1</w:t>
            </w:r>
          </w:p>
        </w:tc>
        <w:tc>
          <w:tcPr>
            <w:tcW w:type="dxa" w:w="1050"/>
            <w:shd w:fill="F3F1ED"/>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111111"/>
                <w:sz w:val="16"/>
              </w:rPr>
              <w:t>Ops + Theme</w:t>
            </w:r>
          </w:p>
        </w:tc>
        <w:tc>
          <w:tcPr>
            <w:tcW w:type="dxa" w:w="3660"/>
            <w:shd w:fill="F3F1ED"/>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6"/>
              </w:rPr>
              <w:t>Put the 1-3 day processing window and Canada, US, and international delivery ranges on Delivery Concierge and PDP accordions. Link the full policy. Align cart copy with complimentary standard delivery.</w:t>
            </w:r>
          </w:p>
        </w:tc>
        <w:tc>
          <w:tcPr>
            <w:tcW w:type="dxa" w:w="4518"/>
            <w:shd w:fill="F3F1ED"/>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6"/>
              </w:rPr>
              <w:t>Timelines are readable before checkout and match the shipping policy. Cart no longer implies an unknown standard shipping charge.</w:t>
            </w:r>
          </w:p>
        </w:tc>
      </w:tr>
      <w:tr>
        <w:tc>
          <w:tcPr>
            <w:tcW w:type="dxa" w:w="650"/>
            <w:shd w:fill="FFFFFF"/>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B88A52"/>
                <w:sz w:val="16"/>
              </w:rPr>
              <w:t>P1</w:t>
            </w:r>
          </w:p>
        </w:tc>
        <w:tc>
          <w:tcPr>
            <w:tcW w:type="dxa" w:w="1050"/>
            <w:shd w:fill="FFFFFF"/>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111111"/>
                <w:sz w:val="16"/>
              </w:rPr>
              <w:t>Theme</w:t>
            </w:r>
          </w:p>
        </w:tc>
        <w:tc>
          <w:tcPr>
            <w:tcW w:type="dxa" w:w="3660"/>
            <w:shd w:fill="FFFFFF"/>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6"/>
              </w:rPr>
              <w:t>Refactor Living Lookbook image delivery: responsive Shopify widths, lazy loading below the first frame, deduplicated hidden rails, width and height attributes, and descriptive alt text.</w:t>
            </w:r>
          </w:p>
        </w:tc>
        <w:tc>
          <w:tcPr>
            <w:tcW w:type="dxa" w:w="4518"/>
            <w:shd w:fill="FFFFFF"/>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6"/>
              </w:rPr>
              <w:t>No original-size offscreen images load initially; images are served near 2x rendered width; missing alt count is zero for meaningful imagery.</w:t>
            </w:r>
          </w:p>
        </w:tc>
      </w:tr>
      <w:tr>
        <w:tc>
          <w:tcPr>
            <w:tcW w:type="dxa" w:w="650"/>
            <w:shd w:fill="F3F1ED"/>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B88A52"/>
                <w:sz w:val="16"/>
              </w:rPr>
              <w:t>P2</w:t>
            </w:r>
          </w:p>
        </w:tc>
        <w:tc>
          <w:tcPr>
            <w:tcW w:type="dxa" w:w="1050"/>
            <w:shd w:fill="F3F1ED"/>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111111"/>
                <w:sz w:val="16"/>
              </w:rPr>
              <w:t>Theme + Brand</w:t>
            </w:r>
          </w:p>
        </w:tc>
        <w:tc>
          <w:tcPr>
            <w:tcW w:type="dxa" w:w="3660"/>
            <w:shd w:fill="F3F1ED"/>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6"/>
              </w:rPr>
              <w:t>Repair the repeated header Care link that points to #. Remove duplicate H1s on Refund and Terms. Correct homepage meta grammar. Address Lighthouse contrast and ARIA findings. Add product or process proof to the hero and Story page.</w:t>
            </w:r>
          </w:p>
        </w:tc>
        <w:tc>
          <w:tcPr>
            <w:tcW w:type="dxa" w:w="4518"/>
            <w:shd w:fill="F3F1ED"/>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6"/>
              </w:rPr>
              <w:t>No dead navigation targets, one H1 per policy page, accessibility score 95+, and the first homepage viewport contains a current product proof point.</w:t>
            </w:r>
          </w:p>
        </w:tc>
      </w:tr>
    </w:tbl>
    <w:p>
      <w:pPr>
        <w:keepNext w:val="0"/>
        <w:spacing w:before="100" w:after="0" w:line="269" w:lineRule="auto"/>
        <w:jc w:val="left"/>
      </w:pPr>
      <w:r>
        <w:rPr>
          <w:rFonts w:ascii="Nimbus Sans" w:hAnsi="Nimbus Sans"/>
          <w:b w:val="0"/>
          <w:i/>
          <w:color w:val="66615B"/>
          <w:sz w:val="17"/>
        </w:rPr>
        <w:t>Measurement note: PageSpeed Insights reported no real-user field data for this URL. The mobile targets above use repeatable Lighthouse lab testing and should later be supplemented with Shopify analytics or real-user monitoring.</w:t>
      </w:r>
    </w:p>
    <w:p>
      <w:r>
        <w:br w:type="page"/>
      </w:r>
    </w:p>
    <w:p>
      <w:pPr>
        <w:keepNext w:val="0"/>
        <w:spacing w:before="0" w:after="60" w:line="269" w:lineRule="auto"/>
        <w:jc w:val="left"/>
      </w:pPr>
      <w:r>
        <w:rPr>
          <w:rFonts w:ascii="Nimbus Sans Narrow" w:hAnsi="Nimbus Sans Narrow"/>
          <w:b/>
          <w:i w:val="0"/>
          <w:color w:val="B88A52"/>
          <w:sz w:val="20"/>
        </w:rPr>
        <w:t>EXECUTION</w:t>
      </w:r>
    </w:p>
    <w:p>
      <w:pPr>
        <w:keepNext w:val="0"/>
        <w:spacing w:before="0" w:after="40" w:line="269" w:lineRule="auto"/>
        <w:jc w:val="left"/>
      </w:pPr>
      <w:r>
        <w:rPr>
          <w:rFonts w:ascii="Nimbus Sans Narrow" w:hAnsi="Nimbus Sans Narrow"/>
          <w:b/>
          <w:i w:val="0"/>
          <w:color w:val="111111"/>
          <w:sz w:val="46"/>
        </w:rPr>
        <w:t>30-DAY DELIVERY PLAN</w:t>
      </w:r>
    </w:p>
    <w:p>
      <w:pPr>
        <w:keepNext w:val="0"/>
        <w:spacing w:before="0" w:after="140" w:line="269" w:lineRule="auto"/>
        <w:jc w:val="left"/>
      </w:pPr>
      <w:r>
        <w:rPr>
          <w:rFonts w:ascii="Nimbus Sans" w:hAnsi="Nimbus Sans"/>
          <w:b w:val="0"/>
          <w:i w:val="0"/>
          <w:color w:val="66615B"/>
          <w:sz w:val="21"/>
        </w:rPr>
        <w:t>Ship trust and merchandising corrections first, then performance and brand experiments.</w:t>
      </w:r>
    </w:p>
    <w:tbl>
      <w:tblPr>
        <w:tblW w:type="dxa" w:w="9878"/>
        <w:jc w:val="left"/>
        <w:tblLayout w:type="fixed"/>
        <w:tblLook w:firstColumn="1" w:firstRow="1" w:lastColumn="0" w:lastRow="0" w:noHBand="0" w:noVBand="1" w:val="04A0"/>
        <w:tblInd w:w="120" w:type="dxa"/>
        <w:tblBorders>
          <w:top w:val="single" w:sz="6" w:space="0" w:color="D9D3C9"/>
          <w:left w:val="single" w:sz="6" w:space="0" w:color="D9D3C9"/>
          <w:bottom w:val="single" w:sz="6" w:space="0" w:color="D9D3C9"/>
          <w:right w:val="single" w:sz="6" w:space="0" w:color="D9D3C9"/>
          <w:insideH w:val="single" w:sz="6" w:space="0" w:color="D9D3C9"/>
          <w:insideV w:val="single" w:sz="6" w:space="0" w:color="D9D3C9"/>
        </w:tblBorders>
      </w:tblPr>
      <w:tblGrid>
        <w:gridCol w:w="1250"/>
        <w:gridCol w:w="3900"/>
        <w:gridCol w:w="4728"/>
      </w:tblGrid>
      <w:tr>
        <w:trPr>
          <w:tblHeader w:val="true"/>
        </w:trPr>
        <w:tc>
          <w:tcPr>
            <w:tcW w:type="dxa" w:w="1250"/>
            <w:vAlign w:val="center"/>
            <w:tcMar>
              <w:top w:w="80" w:type="dxa"/>
              <w:start w:w="120" w:type="dxa"/>
              <w:bottom w:w="80" w:type="dxa"/>
              <w:end w:w="120" w:type="dxa"/>
            </w:tcMar>
            <w:shd w:fill="111111"/>
          </w:tcPr>
          <w:p>
            <w:pPr>
              <w:spacing w:before="0" w:after="0" w:line="252" w:lineRule="auto"/>
              <w:jc w:val="left"/>
            </w:pPr>
            <w:r/>
            <w:r>
              <w:rPr>
                <w:rFonts w:ascii="Nimbus Sans Narrow" w:hAnsi="Nimbus Sans Narrow"/>
                <w:b/>
                <w:i w:val="0"/>
                <w:color w:val="F4EAD8"/>
                <w:sz w:val="16"/>
              </w:rPr>
              <w:t>WINDOW</w:t>
            </w:r>
          </w:p>
        </w:tc>
        <w:tc>
          <w:tcPr>
            <w:tcW w:type="dxa" w:w="3900"/>
            <w:vAlign w:val="center"/>
            <w:tcMar>
              <w:top w:w="80" w:type="dxa"/>
              <w:start w:w="120" w:type="dxa"/>
              <w:bottom w:w="80" w:type="dxa"/>
              <w:end w:w="120" w:type="dxa"/>
            </w:tcMar>
            <w:shd w:fill="111111"/>
          </w:tcPr>
          <w:p>
            <w:pPr>
              <w:spacing w:before="0" w:after="0" w:line="252" w:lineRule="auto"/>
              <w:jc w:val="left"/>
            </w:pPr>
            <w:r/>
            <w:r>
              <w:rPr>
                <w:rFonts w:ascii="Nimbus Sans Narrow" w:hAnsi="Nimbus Sans Narrow"/>
                <w:b/>
                <w:i w:val="0"/>
                <w:color w:val="F4EAD8"/>
                <w:sz w:val="16"/>
              </w:rPr>
              <w:t>SHIP</w:t>
            </w:r>
          </w:p>
        </w:tc>
        <w:tc>
          <w:tcPr>
            <w:tcW w:type="dxa" w:w="4728"/>
            <w:vAlign w:val="center"/>
            <w:tcMar>
              <w:top w:w="80" w:type="dxa"/>
              <w:start w:w="120" w:type="dxa"/>
              <w:bottom w:w="80" w:type="dxa"/>
              <w:end w:w="120" w:type="dxa"/>
            </w:tcMar>
            <w:shd w:fill="111111"/>
          </w:tcPr>
          <w:p>
            <w:pPr>
              <w:spacing w:before="0" w:after="0" w:line="252" w:lineRule="auto"/>
              <w:jc w:val="left"/>
            </w:pPr>
            <w:r/>
            <w:r>
              <w:rPr>
                <w:rFonts w:ascii="Nimbus Sans Narrow" w:hAnsi="Nimbus Sans Narrow"/>
                <w:b/>
                <w:i w:val="0"/>
                <w:color w:val="F4EAD8"/>
                <w:sz w:val="16"/>
              </w:rPr>
              <w:t>VERIFY</w:t>
            </w:r>
          </w:p>
        </w:tc>
      </w:tr>
      <w:tr>
        <w:tc>
          <w:tcPr>
            <w:tcW w:type="dxa" w:w="1250"/>
            <w:shd w:fill="FFFFFF"/>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B88A52"/>
                <w:sz w:val="17"/>
              </w:rPr>
              <w:t>0-48 hours</w:t>
            </w:r>
          </w:p>
        </w:tc>
        <w:tc>
          <w:tcPr>
            <w:tcW w:type="dxa" w:w="3900"/>
            <w:shd w:fill="FFFFFF"/>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7"/>
              </w:rPr>
              <w:t>Returns email target, broken # header link, homepage rail inventory, default catalogue sort, and delivery/cart wording.</w:t>
            </w:r>
          </w:p>
        </w:tc>
        <w:tc>
          <w:tcPr>
            <w:tcW w:type="dxa" w:w="4728"/>
            <w:shd w:fill="FFFFFF"/>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7"/>
              </w:rPr>
              <w:t>Link audit passes; first shopping path is purchasable; policy and cart language agree.</w:t>
            </w:r>
          </w:p>
        </w:tc>
      </w:tr>
      <w:tr>
        <w:tc>
          <w:tcPr>
            <w:tcW w:type="dxa" w:w="1250"/>
            <w:shd w:fill="F3F1ED"/>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B88A52"/>
                <w:sz w:val="17"/>
              </w:rPr>
              <w:t>Week 1</w:t>
            </w:r>
          </w:p>
        </w:tc>
        <w:tc>
          <w:tcPr>
            <w:tcW w:type="dxa" w:w="3900"/>
            <w:shd w:fill="F3F1ED"/>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7"/>
              </w:rPr>
              <w:t>Size-guide metafields and modal, standardized PDP specifications, rating placement, and one consolidated set module.</w:t>
            </w:r>
          </w:p>
        </w:tc>
        <w:tc>
          <w:tcPr>
            <w:tcW w:type="dxa" w:w="4728"/>
            <w:shd w:fill="F3F1ED"/>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7"/>
              </w:rPr>
              <w:t>Audit 10 priority PDPs across tracksuits, denim, womenswear, and outerwear.</w:t>
            </w:r>
          </w:p>
        </w:tc>
      </w:tr>
      <w:tr>
        <w:tc>
          <w:tcPr>
            <w:tcW w:type="dxa" w:w="1250"/>
            <w:shd w:fill="FFFFFF"/>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B88A52"/>
                <w:sz w:val="17"/>
              </w:rPr>
              <w:t>Week 2</w:t>
            </w:r>
          </w:p>
        </w:tc>
        <w:tc>
          <w:tcPr>
            <w:tcW w:type="dxa" w:w="3900"/>
            <w:shd w:fill="FFFFFF"/>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7"/>
              </w:rPr>
              <w:t>Homepage LCP optimization and Living Lookbook responsive-image refactor.</w:t>
            </w:r>
          </w:p>
        </w:tc>
        <w:tc>
          <w:tcPr>
            <w:tcW w:type="dxa" w:w="4728"/>
            <w:shd w:fill="FFFFFF"/>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7"/>
              </w:rPr>
              <w:t>Three-run mobile Lighthouse median meets target; visual QA shows no lost image quality.</w:t>
            </w:r>
          </w:p>
        </w:tc>
      </w:tr>
      <w:tr>
        <w:tc>
          <w:tcPr>
            <w:tcW w:type="dxa" w:w="1250"/>
            <w:shd w:fill="F3F1ED"/>
            <w:vAlign w:val="center"/>
            <w:tcMar>
              <w:top w:w="80" w:type="dxa"/>
              <w:start w:w="120" w:type="dxa"/>
              <w:bottom w:w="80" w:type="dxa"/>
              <w:end w:w="120" w:type="dxa"/>
            </w:tcMar>
          </w:tcPr>
          <w:p>
            <w:pPr>
              <w:spacing w:before="0" w:after="0" w:line="252" w:lineRule="auto"/>
              <w:jc w:val="left"/>
            </w:pPr>
            <w:r/>
            <w:r>
              <w:rPr>
                <w:rFonts w:ascii="Nimbus Sans Narrow" w:hAnsi="Nimbus Sans Narrow"/>
                <w:b/>
                <w:i w:val="0"/>
                <w:color w:val="B88A52"/>
                <w:sz w:val="17"/>
              </w:rPr>
              <w:t>Weeks 3-4</w:t>
            </w:r>
          </w:p>
        </w:tc>
        <w:tc>
          <w:tcPr>
            <w:tcW w:type="dxa" w:w="3900"/>
            <w:shd w:fill="F3F1ED"/>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7"/>
              </w:rPr>
              <w:t>Product-led homepage creative, stronger Story proof, and accessibility cleanup.</w:t>
            </w:r>
          </w:p>
        </w:tc>
        <w:tc>
          <w:tcPr>
            <w:tcW w:type="dxa" w:w="4728"/>
            <w:shd w:fill="F3F1ED"/>
            <w:vAlign w:val="center"/>
            <w:tcMar>
              <w:top w:w="80" w:type="dxa"/>
              <w:start w:w="120" w:type="dxa"/>
              <w:bottom w:w="80" w:type="dxa"/>
              <w:end w:w="120" w:type="dxa"/>
            </w:tcMar>
          </w:tcPr>
          <w:p>
            <w:pPr>
              <w:spacing w:before="0" w:after="0" w:line="252" w:lineRule="auto"/>
              <w:jc w:val="left"/>
            </w:pPr>
            <w:r/>
            <w:r>
              <w:rPr>
                <w:rFonts w:ascii="Nimbus Sans" w:hAnsi="Nimbus Sans"/>
                <w:b w:val="0"/>
                <w:i w:val="0"/>
                <w:color w:val="111111"/>
                <w:sz w:val="17"/>
              </w:rPr>
              <w:t>Run a controlled hero test using add-to-cart rate, product-view rate, bounce, and revenue per session.</w:t>
            </w:r>
          </w:p>
        </w:tc>
      </w:tr>
    </w:tbl>
    <w:p>
      <w:pPr>
        <w:pStyle w:val="Heading1"/>
      </w:pPr>
      <w:r>
        <w:t>VERIFIED STRENGTHS TO PRESERVE</w:t>
      </w:r>
    </w:p>
    <w:p>
      <w:pPr>
        <w:keepNext/>
        <w:spacing w:before="80" w:after="40"/>
      </w:pPr>
      <w:r>
        <w:rPr>
          <w:rFonts w:ascii="Nimbus Sans Narrow" w:hAnsi="Nimbus Sans Narrow"/>
          <w:b/>
          <w:i w:val="0"/>
          <w:color w:val="2F6847"/>
          <w:sz w:val="18"/>
        </w:rPr>
        <w:t xml:space="preserve">01  </w:t>
      </w:r>
      <w:r>
        <w:rPr>
          <w:rFonts w:ascii="Nimbus Sans Narrow" w:hAnsi="Nimbus Sans Narrow"/>
          <w:b/>
          <w:i w:val="0"/>
          <w:color w:val="111111"/>
          <w:sz w:val="22"/>
        </w:rPr>
        <w:t>Shipping promise is now aligned</w:t>
      </w:r>
    </w:p>
    <w:p>
      <w:pPr>
        <w:keepNext w:val="0"/>
        <w:spacing w:before="0" w:after="80" w:line="259" w:lineRule="auto"/>
        <w:jc w:val="left"/>
      </w:pPr>
      <w:r>
        <w:rPr>
          <w:rFonts w:ascii="Nimbus Sans" w:hAnsi="Nimbus Sans"/>
          <w:b w:val="0"/>
          <w:i w:val="0"/>
          <w:color w:val="66615B"/>
          <w:sz w:val="18"/>
        </w:rPr>
        <w:t>The announcement bar, FAQ, PDP trust badges, and shipping policy all state complimentary delivery on all orders. No old threshold-based shipping message was observed.</w:t>
      </w:r>
    </w:p>
    <w:p>
      <w:pPr>
        <w:keepNext/>
        <w:spacing w:before="80" w:after="40"/>
      </w:pPr>
      <w:r>
        <w:rPr>
          <w:rFonts w:ascii="Nimbus Sans Narrow" w:hAnsi="Nimbus Sans Narrow"/>
          <w:b/>
          <w:i w:val="0"/>
          <w:color w:val="2F6847"/>
          <w:sz w:val="18"/>
        </w:rPr>
        <w:t xml:space="preserve">02  </w:t>
      </w:r>
      <w:r>
        <w:rPr>
          <w:rFonts w:ascii="Nimbus Sans Narrow" w:hAnsi="Nimbus Sans Narrow"/>
          <w:b/>
          <w:i w:val="0"/>
          <w:color w:val="111111"/>
          <w:sz w:val="22"/>
        </w:rPr>
        <w:t>Flagship PDP structure is credible</w:t>
      </w:r>
    </w:p>
    <w:p>
      <w:pPr>
        <w:keepNext w:val="0"/>
        <w:spacing w:before="0" w:after="80" w:line="259" w:lineRule="auto"/>
        <w:jc w:val="left"/>
      </w:pPr>
      <w:r>
        <w:rPr>
          <w:rFonts w:ascii="Nimbus Sans" w:hAnsi="Nimbus Sans"/>
          <w:b w:val="0"/>
          <w:i w:val="0"/>
          <w:color w:val="66615B"/>
          <w:sz w:val="18"/>
        </w:rPr>
        <w:t>Hargneux includes story, construction, fit, exact composition, care, shipping, strong imagery, and a matching-set path. Use it as the minimum PDP template.</w:t>
      </w:r>
    </w:p>
    <w:p>
      <w:pPr>
        <w:keepNext/>
        <w:spacing w:before="80" w:after="40"/>
      </w:pPr>
      <w:r>
        <w:rPr>
          <w:rFonts w:ascii="Nimbus Sans Narrow" w:hAnsi="Nimbus Sans Narrow"/>
          <w:b/>
          <w:i w:val="0"/>
          <w:color w:val="2F6847"/>
          <w:sz w:val="18"/>
        </w:rPr>
        <w:t xml:space="preserve">03  </w:t>
      </w:r>
      <w:r>
        <w:rPr>
          <w:rFonts w:ascii="Nimbus Sans Narrow" w:hAnsi="Nimbus Sans Narrow"/>
          <w:b/>
          <w:i w:val="0"/>
          <w:color w:val="111111"/>
          <w:sz w:val="22"/>
        </w:rPr>
        <w:t>Core commerce flow works</w:t>
      </w:r>
    </w:p>
    <w:p>
      <w:pPr>
        <w:keepNext w:val="0"/>
        <w:spacing w:before="0" w:after="80" w:line="259" w:lineRule="auto"/>
        <w:jc w:val="left"/>
      </w:pPr>
      <w:r>
        <w:rPr>
          <w:rFonts w:ascii="Nimbus Sans" w:hAnsi="Nimbus Sans"/>
          <w:b w:val="0"/>
          <w:i w:val="0"/>
          <w:color w:val="66615B"/>
          <w:sz w:val="18"/>
        </w:rPr>
        <w:t>Size selection, Add to cart, cart drawer, quantity controls, subtotal, payment marks, and checkout entry were present and functional in the audited session.</w:t>
      </w:r>
    </w:p>
    <w:p>
      <w:pPr>
        <w:keepNext/>
        <w:spacing w:before="80" w:after="40"/>
      </w:pPr>
      <w:r>
        <w:rPr>
          <w:rFonts w:ascii="Nimbus Sans Narrow" w:hAnsi="Nimbus Sans Narrow"/>
          <w:b/>
          <w:i w:val="0"/>
          <w:color w:val="2F6847"/>
          <w:sz w:val="18"/>
        </w:rPr>
        <w:t xml:space="preserve">04  </w:t>
      </w:r>
      <w:r>
        <w:rPr>
          <w:rFonts w:ascii="Nimbus Sans Narrow" w:hAnsi="Nimbus Sans Narrow"/>
          <w:b/>
          <w:i w:val="0"/>
          <w:color w:val="111111"/>
          <w:sz w:val="22"/>
        </w:rPr>
        <w:t>Technical SEO foundation is strong</w:t>
      </w:r>
    </w:p>
    <w:p>
      <w:pPr>
        <w:keepNext w:val="0"/>
        <w:spacing w:before="0" w:after="80" w:line="259" w:lineRule="auto"/>
        <w:jc w:val="left"/>
      </w:pPr>
      <w:r>
        <w:rPr>
          <w:rFonts w:ascii="Nimbus Sans" w:hAnsi="Nimbus Sans"/>
          <w:b w:val="0"/>
          <w:i w:val="0"/>
          <w:color w:val="66615B"/>
          <w:sz w:val="18"/>
        </w:rPr>
        <w:t>Lighthouse SEO scored 100, structured data validated, and Organization, WebSite, BreadcrumbList, and Product types were present.</w:t>
      </w:r>
    </w:p>
    <w:p>
      <w:pPr>
        <w:pStyle w:val="Heading1"/>
      </w:pPr>
      <w:r>
        <w:t>ASSUMPTIONS AND VALIDATION GAPS</w:t>
      </w:r>
    </w:p>
    <w:p>
      <w:pPr>
        <w:keepNext w:val="0"/>
        <w:spacing w:before="0" w:after="100" w:line="259" w:lineRule="auto"/>
        <w:jc w:val="left"/>
      </w:pPr>
      <w:r>
        <w:rPr>
          <w:rFonts w:ascii="Nimbus Sans" w:hAnsi="Nimbus Sans"/>
          <w:b w:val="0"/>
          <w:i w:val="0"/>
          <w:color w:val="66615B"/>
          <w:sz w:val="18"/>
        </w:rPr>
        <w:t>Impact priority is an informed conversion estimate because analytics, order data, inventory depth, margins, return reasons, and heatmaps were not available. PageSpeed showed no CrUX field data. Limited inventory may be intentional, but sold-out sequencing should still be governed by current stock and campaign intent. Checkout completion, customer-service response times, and every device/browser combination were not tested.</w:t>
      </w:r>
    </w:p>
    <w:p>
      <w:pPr>
        <w:pStyle w:val="Heading1"/>
      </w:pPr>
      <w:r>
        <w:t>LIVE EVIDENCE</w:t>
      </w:r>
    </w:p>
    <w:p>
      <w:pPr>
        <w:spacing w:before="0" w:after="0" w:line="240" w:lineRule="auto"/>
      </w:pPr>
      <w:hyperlink r:id="rId13">
        <w:r>
          <w:rPr>
            <w:rFonts w:ascii="Nimbus Sans" w:hAnsi="Nimbus Sans"/>
            <w:color w:val="B88A52"/>
            <w:sz w:val="16"/>
            <w:u w:val="single"/>
          </w:rPr>
          <w:t>Homepage</w:t>
        </w:r>
      </w:hyperlink>
      <w:r>
        <w:rPr>
          <w:rFonts w:ascii="Nimbus Sans" w:hAnsi="Nimbus Sans"/>
          <w:b w:val="0"/>
          <w:i w:val="0"/>
          <w:color w:val="D9D3C9"/>
          <w:sz w:val="16"/>
        </w:rPr>
        <w:t xml:space="preserve">  |  </w:t>
      </w:r>
      <w:hyperlink r:id="rId14">
        <w:r>
          <w:rPr>
            <w:rFonts w:ascii="Nimbus Sans" w:hAnsi="Nimbus Sans"/>
            <w:color w:val="B88A52"/>
            <w:sz w:val="16"/>
            <w:u w:val="single"/>
          </w:rPr>
          <w:t>All Products</w:t>
        </w:r>
      </w:hyperlink>
      <w:r>
        <w:rPr>
          <w:rFonts w:ascii="Nimbus Sans" w:hAnsi="Nimbus Sans"/>
          <w:b w:val="0"/>
          <w:i w:val="0"/>
          <w:color w:val="D9D3C9"/>
          <w:sz w:val="16"/>
        </w:rPr>
        <w:t xml:space="preserve">  |  </w:t>
      </w:r>
      <w:hyperlink r:id="rId15">
        <w:r>
          <w:rPr>
            <w:rFonts w:ascii="Nimbus Sans" w:hAnsi="Nimbus Sans"/>
            <w:color w:val="B88A52"/>
            <w:sz w:val="16"/>
            <w:u w:val="single"/>
          </w:rPr>
          <w:t>Hargneux PDP</w:t>
        </w:r>
      </w:hyperlink>
      <w:r>
        <w:rPr>
          <w:rFonts w:ascii="Nimbus Sans" w:hAnsi="Nimbus Sans"/>
          <w:b w:val="0"/>
          <w:i w:val="0"/>
          <w:color w:val="D9D3C9"/>
          <w:sz w:val="16"/>
        </w:rPr>
        <w:t xml:space="preserve">  |  </w:t>
      </w:r>
      <w:hyperlink r:id="rId16">
        <w:r>
          <w:rPr>
            <w:rFonts w:ascii="Nimbus Sans" w:hAnsi="Nimbus Sans"/>
            <w:color w:val="B88A52"/>
            <w:sz w:val="16"/>
            <w:u w:val="single"/>
          </w:rPr>
          <w:t>Fit Concierge</w:t>
        </w:r>
      </w:hyperlink>
      <w:r>
        <w:rPr>
          <w:rFonts w:ascii="Nimbus Sans" w:hAnsi="Nimbus Sans"/>
          <w:b w:val="0"/>
          <w:i w:val="0"/>
          <w:color w:val="D9D3C9"/>
          <w:sz w:val="16"/>
        </w:rPr>
        <w:t xml:space="preserve">  |  </w:t>
      </w:r>
      <w:hyperlink r:id="rId17">
        <w:r>
          <w:rPr>
            <w:rFonts w:ascii="Nimbus Sans" w:hAnsi="Nimbus Sans"/>
            <w:color w:val="B88A52"/>
            <w:sz w:val="16"/>
            <w:u w:val="single"/>
          </w:rPr>
          <w:t>Shipping policy</w:t>
        </w:r>
      </w:hyperlink>
      <w:r>
        <w:rPr>
          <w:rFonts w:ascii="Nimbus Sans" w:hAnsi="Nimbus Sans"/>
          <w:b w:val="0"/>
          <w:i w:val="0"/>
          <w:color w:val="D9D3C9"/>
          <w:sz w:val="16"/>
        </w:rPr>
        <w:t xml:space="preserve">  |  </w:t>
      </w:r>
      <w:hyperlink r:id="rId18">
        <w:r>
          <w:rPr>
            <w:rFonts w:ascii="Nimbus Sans" w:hAnsi="Nimbus Sans"/>
            <w:color w:val="B88A52"/>
            <w:sz w:val="16"/>
            <w:u w:val="single"/>
          </w:rPr>
          <w:t>Refund policy</w:t>
        </w:r>
      </w:hyperlink>
      <w:r>
        <w:rPr>
          <w:rFonts w:ascii="Nimbus Sans" w:hAnsi="Nimbus Sans"/>
          <w:b w:val="0"/>
          <w:i w:val="0"/>
          <w:color w:val="D9D3C9"/>
          <w:sz w:val="16"/>
        </w:rPr>
        <w:t xml:space="preserve">  |  </w:t>
      </w:r>
      <w:hyperlink r:id="rId19">
        <w:r>
          <w:rPr>
            <w:rFonts w:ascii="Nimbus Sans" w:hAnsi="Nimbus Sans"/>
            <w:color w:val="B88A52"/>
            <w:sz w:val="16"/>
            <w:u w:val="single"/>
          </w:rPr>
          <w:t>FAQ</w:t>
        </w:r>
      </w:hyperlink>
      <w:r>
        <w:rPr>
          <w:rFonts w:ascii="Nimbus Sans" w:hAnsi="Nimbus Sans"/>
          <w:b w:val="0"/>
          <w:i w:val="0"/>
          <w:color w:val="D9D3C9"/>
          <w:sz w:val="16"/>
        </w:rPr>
        <w:t xml:space="preserve">  |  </w:t>
      </w:r>
      <w:hyperlink r:id="rId20">
        <w:r>
          <w:rPr>
            <w:rFonts w:ascii="Nimbus Sans" w:hAnsi="Nimbus Sans"/>
            <w:color w:val="B88A52"/>
            <w:sz w:val="16"/>
            <w:u w:val="single"/>
          </w:rPr>
          <w:t>Living Lookbook</w:t>
        </w:r>
      </w:hyperlink>
      <w:r>
        <w:rPr>
          <w:rFonts w:ascii="Nimbus Sans" w:hAnsi="Nimbus Sans"/>
          <w:b w:val="0"/>
          <w:i w:val="0"/>
          <w:color w:val="D9D3C9"/>
          <w:sz w:val="16"/>
        </w:rPr>
        <w:t xml:space="preserve">  |  </w:t>
      </w:r>
      <w:hyperlink r:id="rId21">
        <w:r>
          <w:rPr>
            <w:rFonts w:ascii="Nimbus Sans" w:hAnsi="Nimbus Sans"/>
            <w:color w:val="B88A52"/>
            <w:sz w:val="16"/>
            <w:u w:val="single"/>
          </w:rPr>
          <w:t>Mobile PSI report</w:t>
        </w:r>
      </w:hyperlink>
    </w:p>
    <w:sectPr w:rsidR="00FC693F" w:rsidRPr="0006063C" w:rsidSect="00034616">
      <w:headerReference w:type="default" r:id="rId9"/>
      <w:footerReference w:type="default" r:id="rId10"/>
      <w:headerReference w:type="even" r:id="rId11"/>
      <w:footerReference w:type="even" r:id="rId12"/>
      <w:pgSz w:w="12240" w:h="15840"/>
      <w:pgMar w:top="1037" w:right="1181" w:bottom="1008" w:left="1181"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imbus Sans" w:hAnsi="Nimbus Sans"/>
        <w:b w:val="0"/>
        <w:i w:val="0"/>
        <w:color w:val="66615B"/>
        <w:sz w:val="16"/>
      </w:rPr>
      <w:t xml:space="preserve">MELATO IMPLEMENTATION BRIEF  |  </w:t>
    </w:r>
    <w:r>
      <w:rPr>
        <w:rFonts w:ascii="Nimbus Sans" w:hAnsi="Nimbus Sans"/>
        <w:b w:val="0"/>
        <w:i w:val="0"/>
        <w:color w:val="66615B"/>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imbus Sans" w:hAnsi="Nimbus Sans"/>
        <w:b w:val="0"/>
        <w:i w:val="0"/>
        <w:color w:val="66615B"/>
        <w:sz w:val="16"/>
      </w:rPr>
      <w:t xml:space="preserve">MELATO IMPLEMENTATION BRIEF  |  </w:t>
    </w:r>
    <w:r>
      <w:rPr>
        <w:rFonts w:ascii="Nimbus Sans" w:hAnsi="Nimbus Sans"/>
        <w:b w:val="0"/>
        <w:i w:val="0"/>
        <w:color w:val="66615B"/>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48" w:val="left"/>
      </w:tabs>
      <w:spacing w:after="0"/>
    </w:pPr>
    <w:r>
      <w:rPr>
        <w:rFonts w:ascii="Nimbus Sans Narrow" w:hAnsi="Nimbus Sans Narrow"/>
        <w:b/>
        <w:i w:val="0"/>
        <w:color w:val="66615B"/>
        <w:sz w:val="16"/>
      </w:rPr>
      <w:t>MELATO / LIVE STORE AUDIT</w:t>
    </w:r>
    <w:r>
      <w:tab/>
    </w:r>
    <w:r>
      <w:rPr>
        <w:rFonts w:ascii="Nimbus Sans" w:hAnsi="Nimbus Sans"/>
        <w:b/>
        <w:i w:val="0"/>
        <w:color w:val="66615B"/>
        <w:sz w:val="16"/>
      </w:rPr>
      <w:t>18 JUL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48" w:val="left"/>
      </w:tabs>
      <w:spacing w:after="0"/>
    </w:pPr>
    <w:r>
      <w:rPr>
        <w:rFonts w:ascii="Nimbus Sans Narrow" w:hAnsi="Nimbus Sans Narrow"/>
        <w:b/>
        <w:i w:val="0"/>
        <w:color w:val="66615B"/>
        <w:sz w:val="16"/>
      </w:rPr>
      <w:t>MELATO / LIVE STORE AUDIT</w:t>
    </w:r>
    <w:r>
      <w:tab/>
    </w:r>
    <w:r>
      <w:rPr>
        <w:rFonts w:ascii="Nimbus Sans" w:hAnsi="Nimbus Sans"/>
        <w:b/>
        <w:i w:val="0"/>
        <w:color w:val="66615B"/>
        <w:sz w:val="16"/>
      </w:rPr>
      <w:t>18 JUL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imbus Sans" w:hAnsi="Nimbus Sans"/>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imbus Sans Narrow" w:hAnsi="Nimbus Sans Narrow"/>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Nimbus Sans Narrow" w:hAnsi="Nimbus Sans Narrow"/>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imbus Sans Narrow" w:hAnsi="Nimbus Sans Narrow"/>
      <w:b/>
      <w:bCs/>
      <w:color w:val="B88A5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melato.ca/" TargetMode="External"/><Relationship Id="rId14" Type="http://schemas.openxmlformats.org/officeDocument/2006/relationships/hyperlink" Target="https://melato.ca/collections/all" TargetMode="External"/><Relationship Id="rId15" Type="http://schemas.openxmlformats.org/officeDocument/2006/relationships/hyperlink" Target="https://melato.ca/products/hargneux-velour-track-jacket" TargetMode="External"/><Relationship Id="rId16" Type="http://schemas.openxmlformats.org/officeDocument/2006/relationships/hyperlink" Target="https://melato.ca/pages/fit-concierge" TargetMode="External"/><Relationship Id="rId17" Type="http://schemas.openxmlformats.org/officeDocument/2006/relationships/hyperlink" Target="https://melato.ca/policies/shipping-policy" TargetMode="External"/><Relationship Id="rId18" Type="http://schemas.openxmlformats.org/officeDocument/2006/relationships/hyperlink" Target="https://melato.ca/policies/refund-policy" TargetMode="External"/><Relationship Id="rId19" Type="http://schemas.openxmlformats.org/officeDocument/2006/relationships/hyperlink" Target="https://melato.ca/pages/faq" TargetMode="External"/><Relationship Id="rId20" Type="http://schemas.openxmlformats.org/officeDocument/2006/relationships/hyperlink" Target="https://melato.ca/pages/living-lookbook" TargetMode="External"/><Relationship Id="rId21" Type="http://schemas.openxmlformats.org/officeDocument/2006/relationships/hyperlink" Target="https://pagespeed.web.dev/analysis/https-melato-ca/d9yayyqb5k?form_factor=mob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Melato Live Store Audit and Implementation Brief</dc:title>
  <dc:subject>Conversion, trust, performance, and brand implementation priorities</dc:subject>
  <dc:creator>ChatGPT Work</dc:creator>
  <cp:keywords>Melato, Shopify, conversion, performance, brand,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