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Scope: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Full-service social media management, paid advertising, and SEO designed to drive qualified leads to ATS's sales team. Platforms covered: Facebook, Instagram (primary focus), with lightweight LinkedIn and YouTube upkeep. Content produced in batches, repurposed across organic and paid channels for maximum efficiency.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4A017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UPFRONT INVESTMENT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B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6"/>
                <w:szCs w:val="26"/>
              </w:rPr>
              <w:t xml:space="preserve">UPFRONT INVESTMENT — $1,500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Graphics Package (20–30 designs) covering 3 months of content across paid ads, Facebook &amp; Instagram. Produced at-cost and reusable across all platforms.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8860B"/>
                <w:sz w:val="18"/>
                <w:szCs w:val="18"/>
              </w:rPr>
              <w:t xml:space="preserve">One-time setup fee — not part of the monthly retainer.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D4A017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MONTHLY RETAINER — TIER 1 FOUNDATION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5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FEE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Social Media Management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Facebook + Instagram (1–2x/week). Lightweight LinkedIn &amp; YouTube upkeep. Community engagement, monthly performance review.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$2,400 / mo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SEO Foundation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Technical SEO + site health audit, on-page optimization, local/service-area keyword targeting, Search Console setup.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$800 / mo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Paid Ads Management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Campaign setup, audience targeting, ongoing optimization across Meta &amp; Google. Client covers ad spend separately.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$500 / mo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Spend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Actual paid advertising budget (Meta &amp; Google). Managed by OVM — purchased at cost, passed through.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$300 / mo</w:t>
            </w:r>
          </w:p>
        </w:tc>
      </w:tr>
      <w:tr>
        <w:tc>
          <w:tcPr>
            <w:tcW w:type="dxa" w:w="6800"/>
            <w:gridSpan w:val="2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B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TOTAL MONTHLY INVESTMENT</w:t>
            </w:r>
          </w:p>
        </w:tc>
        <w:tc>
          <w:tcPr>
            <w:tcW w:type="dxa" w:w="25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$4,000 / mo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Note: Ad spend is passed through at cost. Client retains full ownership of ad accounts and spend decisions.</w:t>
      </w:r>
    </w:p>
    <w:p>
      <w:pPr>
        <w:spacing w:after="0" w:before="400"/>
      </w:pPr>
      <w:r>
        <w:t xml:space="preserve"/>
      </w:r>
    </w:p>
    <w:p>
      <w:pPr>
        <w:pBdr>
          <w:bottom w:val="single" w:color="D4A017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GROWTH PATH — WHERE THIS GOES</w:t>
      </w:r>
    </w:p>
    <w:p>
      <w:pPr>
        <w:spacing w:after="0" w:before="120"/>
      </w:pPr>
      <w:r>
        <w:t xml:space="preserve"/>
      </w:r>
    </w:p>
    <w:p>
      <w:pPr>
        <w:spacing w:after="10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Tier 1 is the entry point. Once we've proven ROI, the roadmap scales naturally: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 1 — FOUNDATION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Getting Started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$4,000 / mo</w:t>
            </w:r>
          </w:p>
        </w:tc>
        <w:tc>
          <w:tcPr>
            <w:tcW w:type="dxa" w:w="29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 2 — GROWTH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Scaling Up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$6,500 / mo</w:t>
            </w:r>
          </w:p>
        </w:tc>
        <w:tc>
          <w:tcPr>
            <w:tcW w:type="dxa" w:w="29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 3 — AUTHORITY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Market Leader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$10,000+ / mo</w:t>
            </w:r>
          </w:p>
        </w:tc>
      </w:tr>
      <w:tr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FB + IG (1–2x/week)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 posting (FB + IG)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content calendar</w:t>
            </w:r>
          </w:p>
        </w:tc>
      </w:tr>
      <w:tr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LinkedIn &amp; YouTube upkeep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YouTube short-form video begins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YouTube long-form + shorts</w:t>
            </w:r>
          </w:p>
        </w:tc>
      </w:tr>
      <w:tr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SEO Foundation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SEO Momentum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Authority SEO + backlinking</w:t>
            </w:r>
          </w:p>
        </w:tc>
      </w:tr>
      <w:tr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Paid ads management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Expanded paid ads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Advanced ad strategy</w:t>
            </w:r>
          </w:p>
        </w:tc>
      </w:tr>
      <w:tr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$300/mo ad spend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$1,000/mo ad spend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$3,000+/mo ad spend</w:t>
            </w:r>
          </w:p>
        </w:tc>
      </w:tr>
      <w:tr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Graphics library upfront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Monthly performance deep-dive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Dedicated creative team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D4A017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THE 3-MONTH ROADMAP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1–2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Launch graphics library and begin consistent Facebook + Instagram posting. SEO setup and paid ads go live. Establish baseline metrics: cost per click, reach, engagement, and lead volume.</w:t>
            </w:r>
          </w:p>
        </w:tc>
      </w:tr>
      <w:tr>
        <w:tc>
          <w:tcPr>
            <w:tcW w:type="dxa" w:w="144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Review ROI data with ATS. Content refresh conversation begins. YouTube introduced as a revenue-generating channel — long-form videos build authority, improve SEO, and generate ad revenue back to the client.</w:t>
            </w:r>
          </w:p>
        </w:tc>
      </w:tr>
      <w:tr>
        <w:tc>
          <w:tcPr>
            <w:tcW w:type="dxa" w:w="144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D4A0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4+</w:t>
            </w:r>
          </w:p>
        </w:tc>
        <w:tc>
          <w:tcPr>
            <w:tcW w:type="dxa" w:w="8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Scale to Tier 2 based on results. Increased ad spend, daily posting cadence, and video content pipeline launch. The compounding effect begins — better content drives cheaper clicks, more leads, and higher revenue to reinvest.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2D2D2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THE PITCH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"For $1,500 upfront, we build your content library and launch a proven system across Facebook, Instagram, and Search. You see the data — cost per click, lead volume, ROI — and decide when to scale. The goal isn't to spend more. It's to make every dollar compound."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Bundle social + ads + SEO for maximum compounding effect.  Long-term retainer pricing available.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40" w:before="0"/>
    </w:pPr>
    <w:r>
      <w:t xml:space="preserve"/>
    </w:r>
  </w:p>
  <w:p>
    <w:pPr>
      <w:tabs>
        <w:tab w:val="right" w:pos="9026"/>
      </w:tabs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onevibemedia.shop  •  Custom packages available on request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D2D2D"/>
              <w:sz w:val="32"/>
              <w:szCs w:val="32"/>
            </w:rPr>
            <w:t xml:space="preserve">OneVibeMedia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Premium Media &amp; Marketing Systems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55555"/>
              <w:sz w:val="16"/>
              <w:szCs w:val="16"/>
            </w:rPr>
            <w:t xml:space="preserve">Prepared for</w:t>
          </w:r>
        </w:p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2D2D2D"/>
              <w:sz w:val="20"/>
              <w:szCs w:val="20"/>
            </w:rPr>
            <w:t xml:space="preserve">ATS — A Total Solutions</w:t>
          </w:r>
        </w:p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2D2D2D"/>
              <w:sz w:val="20"/>
              <w:szCs w:val="20"/>
            </w:rPr>
            <w:t xml:space="preserve">Security &amp; Fire Protection</w:t>
          </w:r>
        </w:p>
      </w:tc>
    </w:tr>
  </w:tbl>
  <w:p>
    <w:pPr>
      <w:pBdr>
        <w:bottom w:val="single" w:color="D4A017" w:sz="8" w:space="4"/>
      </w:pBdr>
      <w:spacing w:after="0" w:before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2026-05-15T22:35:19.970Z</dcterms:created>
  <dcterms:modified xsi:type="dcterms:W3CDTF">2026-05-15T22:35:19.970Z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