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26"/>
        </w:rPr>
        <w:t>SENIOR ADVISOR STRATEGIC PARTNERSHIP, NON-CIRCUMVENTION, AND CONFIDENTIALITY AGREEMENT</w:t>
      </w:r>
    </w:p>
    <w:p>
      <w:pPr>
        <w:spacing w:before="0" w:after="40"/>
        <w:jc w:val="center"/>
      </w:pPr>
      <w:r>
        <w:rPr>
          <w:b w:val="0"/>
          <w:i/>
          <w:color w:val="505050"/>
          <w:sz w:val="22"/>
        </w:rPr>
        <w:t>Senior Advisor — 33.33% Direct Compute Offtake / 3.33% Net Profit</w:t>
      </w:r>
    </w:p>
    <w:p>
      <w:pPr>
        <w:spacing w:before="80" w:after="80"/>
        <w:pBdr>
          <w:bottom w:val="single" w:sz="6" w:space="1" w:color="000000"/>
        </w:pBdr>
      </w:pPr>
    </w:p>
    <w:p>
      <w:pPr>
        <w:spacing w:before="40" w:after="40"/>
        <w:jc w:val="both"/>
      </w:pPr>
      <w:r>
        <w:rPr>
          <w:b w:val="0"/>
          <w:i w:val="0"/>
          <w:sz w:val="21"/>
        </w:rPr>
      </w:r>
    </w:p>
    <w:p>
      <w:pPr>
        <w:spacing w:before="80" w:after="80"/>
        <w:jc w:val="both"/>
      </w:pPr>
      <w:r>
        <w:rPr>
          <w:b w:val="0"/>
          <w:i w:val="0"/>
          <w:sz w:val="21"/>
        </w:rPr>
        <w:t>This Agreement is entered into as of the Effective Date set forth in the Parties’ electronic signatures below (the “Effective Date”), by and between:</w:t>
      </w:r>
    </w:p>
    <w:p>
      <w:pPr>
        <w:spacing w:before="80" w:after="80"/>
        <w:jc w:val="both"/>
      </w:pPr>
      <w:r>
        <w:rPr>
          <w:b/>
          <w:sz w:val="21"/>
        </w:rPr>
        <w:t xml:space="preserve">Party A: </w:t>
      </w:r>
      <w:r>
        <w:rPr>
          <w:b w:val="0"/>
          <w:sz w:val="21"/>
        </w:rPr>
        <w:t>OVMG (ONEVIBEMEDIAGROUP, INC.), with an address at 1001 MAYPORT RD #330832, ATLANTIC BEACH, FL 32233 (“OVMG” or “Party A”); and</w:t>
      </w:r>
    </w:p>
    <w:p>
      <w:pPr>
        <w:spacing w:before="80" w:after="80"/>
        <w:jc w:val="both"/>
      </w:pPr>
      <w:r>
        <w:rPr>
          <w:b/>
          <w:sz w:val="21"/>
        </w:rPr>
        <w:t xml:space="preserve">Party B: </w:t>
      </w:r>
      <w:r>
        <w:rPr>
          <w:b w:val="0"/>
          <w:sz w:val="21"/>
        </w:rPr>
        <w:t>[SENIOR ADVISOR FULL LEGAL NAME], with an address at [ADDRESS] ("Senior Advisor" or "Party B").</w:t>
      </w:r>
    </w:p>
    <w:p>
      <w:pPr>
        <w:spacing w:before="80" w:after="80"/>
        <w:jc w:val="both"/>
      </w:pPr>
      <w:r>
        <w:rPr>
          <w:b w:val="0"/>
          <w:i w:val="0"/>
          <w:sz w:val="21"/>
        </w:rPr>
        <w:t>Party A and Party B are collectively referred to herein as the “Parties” and individually as a “Party.”</w:t>
      </w:r>
    </w:p>
    <w:p>
      <w:pPr>
        <w:spacing w:before="200" w:after="120"/>
        <w:jc w:val="left"/>
        <w:shd w:val="clear" w:color="auto" w:fill="1F3864"/>
      </w:pPr>
      <w:r>
        <w:rPr>
          <w:b/>
          <w:color w:val="FFFFFF"/>
          <w:sz w:val="21"/>
        </w:rPr>
        <w:t xml:space="preserve">  ARTICLE I: PURPOSE AND RELATIONSHIP  </w:t>
      </w:r>
    </w:p>
    <w:p>
      <w:pPr>
        <w:spacing w:before="60" w:after="60"/>
        <w:jc w:val="both"/>
      </w:pPr>
      <w:r>
        <w:rPr>
          <w:b/>
          <w:sz w:val="21"/>
        </w:rPr>
        <w:t xml:space="preserve">WHEREAS, </w:t>
      </w:r>
      <w:r>
        <w:rPr>
          <w:sz w:val="21"/>
        </w:rPr>
        <w:t>Party A operates in the fields of media, technology, infrastructure development, hyperscale compute, data centers, energy systems, sustainability ventures, and related strategic initiatives through OVMG and its affiliates;</w:t>
      </w:r>
    </w:p>
    <w:p>
      <w:pPr>
        <w:spacing w:before="60" w:after="60"/>
        <w:jc w:val="both"/>
      </w:pPr>
      <w:r>
        <w:rPr>
          <w:b/>
          <w:sz w:val="21"/>
        </w:rPr>
        <w:t xml:space="preserve">WHEREAS, </w:t>
      </w:r>
      <w:r>
        <w:rPr>
          <w:sz w:val="21"/>
        </w:rPr>
        <w:t>Party A may pursue opportunities including but not limited to data center development, compute infrastructure, energy infrastructure, carbon capture, technology deployment, and strategic project ventures;</w:t>
      </w:r>
    </w:p>
    <w:p>
      <w:pPr>
        <w:spacing w:before="60" w:after="60"/>
        <w:jc w:val="both"/>
      </w:pPr>
      <w:r>
        <w:rPr>
          <w:b/>
          <w:sz w:val="21"/>
        </w:rPr>
        <w:t xml:space="preserve">WHEREAS, </w:t>
      </w:r>
      <w:r>
        <w:rPr>
          <w:sz w:val="21"/>
        </w:rPr>
        <w:t>Party B possesses relationships, experience, and capabilities that may assist Party A in identifying, sourcing, structuring, and executing such opportunities;</w:t>
      </w:r>
    </w:p>
    <w:p>
      <w:pPr>
        <w:spacing w:before="60" w:after="60"/>
        <w:jc w:val="both"/>
      </w:pPr>
      <w:r>
        <w:rPr>
          <w:b/>
          <w:sz w:val="21"/>
        </w:rPr>
        <w:t xml:space="preserve">WHEREAS, </w:t>
      </w:r>
      <w:r>
        <w:rPr>
          <w:sz w:val="21"/>
        </w:rPr>
        <w:t>Party B may introduce potential clients, compute partners, project sites, capital partners, or other strategic relationships that could lead to commercial transactions, including the critical Direct Compute Offtake Contract;</w:t>
      </w:r>
    </w:p>
    <w:p>
      <w:pPr>
        <w:spacing w:before="60" w:after="60"/>
        <w:jc w:val="both"/>
      </w:pPr>
      <w:r>
        <w:rPr>
          <w:b/>
          <w:sz w:val="21"/>
        </w:rPr>
        <w:t xml:space="preserve">WHEREAS, </w:t>
      </w:r>
      <w:r>
        <w:rPr>
          <w:sz w:val="21"/>
        </w:rPr>
        <w:t>The Parties desire to establish the terms governing Party B’s participation in such opportunities and the compensation for qualifying transactions on a mutual and reciprocal basis;</w:t>
      </w:r>
    </w:p>
    <w:p>
      <w:pPr>
        <w:spacing w:before="60" w:after="60"/>
        <w:jc w:val="both"/>
      </w:pPr>
      <w:r>
        <w:rPr>
          <w:b/>
          <w:sz w:val="21"/>
        </w:rPr>
        <w:t xml:space="preserve">WHEREAS, </w:t>
      </w:r>
      <w:r>
        <w:rPr>
          <w:sz w:val="21"/>
        </w:rPr>
        <w:t>The Parties also desire to protect confidential information and prevent circumvention of relationships introduced under this Agreement;</w:t>
      </w:r>
    </w:p>
    <w:p>
      <w:pPr>
        <w:spacing w:before="60" w:after="100"/>
        <w:jc w:val="both"/>
      </w:pPr>
      <w:r>
        <w:rPr>
          <w:b/>
          <w:sz w:val="21"/>
        </w:rPr>
        <w:t xml:space="preserve">NOW, THEREFORE, </w:t>
      </w:r>
      <w:r>
        <w:rPr>
          <w:sz w:val="21"/>
        </w:rPr>
        <w:t>in consideration of the mutual covenants contained herein, the Parties agree as follows:</w:t>
      </w:r>
    </w:p>
    <w:p>
      <w:pPr>
        <w:spacing w:before="200" w:after="120"/>
        <w:jc w:val="left"/>
        <w:shd w:val="clear" w:color="auto" w:fill="1F3864"/>
      </w:pPr>
      <w:r>
        <w:rPr>
          <w:b/>
          <w:color w:val="FFFFFF"/>
          <w:sz w:val="21"/>
        </w:rPr>
        <w:t xml:space="preserve">  ARTICLE II: DEFINITIONS  </w:t>
      </w:r>
    </w:p>
    <w:p>
      <w:pPr>
        <w:spacing w:before="80" w:after="80"/>
        <w:jc w:val="both"/>
      </w:pPr>
      <w:r>
        <w:rPr>
          <w:b/>
          <w:sz w:val="21"/>
        </w:rPr>
        <w:t xml:space="preserve">2.1 Opportunity: </w:t>
      </w:r>
      <w:r>
        <w:rPr>
          <w:b w:val="0"/>
          <w:sz w:val="21"/>
        </w:rPr>
        <w:t>“Opportunity” means a specific potential business arrangement, project, partnership, client engagement, investment, or infrastructure development matter involving Party A that is capable of being specifically identified and reviewed.</w:t>
      </w:r>
    </w:p>
    <w:p>
      <w:pPr>
        <w:spacing w:before="80" w:after="80"/>
        <w:jc w:val="both"/>
      </w:pPr>
      <w:r>
        <w:rPr>
          <w:b/>
          <w:sz w:val="21"/>
        </w:rPr>
        <w:t xml:space="preserve">2.2 Lead: </w:t>
      </w:r>
      <w:r>
        <w:rPr>
          <w:b w:val="0"/>
          <w:sz w:val="21"/>
        </w:rPr>
        <w:t>“Lead” means a specific individual, entity, organization, project sponsor, investor, compute provider, tenant, or other strategic counterparty introduced by either Party to the other in connection with a potential Opportunity.</w:t>
      </w:r>
    </w:p>
    <w:p>
      <w:pPr>
        <w:spacing w:before="80" w:after="80"/>
        <w:jc w:val="both"/>
      </w:pPr>
      <w:r>
        <w:rPr>
          <w:b/>
          <w:sz w:val="21"/>
        </w:rPr>
        <w:t xml:space="preserve">2.3 Qualified Opportunity: </w:t>
      </w:r>
      <w:r>
        <w:rPr>
          <w:b w:val="0"/>
          <w:sz w:val="21"/>
        </w:rPr>
        <w:t>A Lead or Opportunity shall be a Qualified Opportunity only if all required registration and verification steps in Article V have been fully completed, OVMG affirmatively accepts the registration in writing, and the matter was not already in OVMG’s existing pipeline, active discussions, or active negotiations before registration.</w:t>
      </w:r>
    </w:p>
    <w:p>
      <w:pPr>
        <w:spacing w:before="80" w:after="80"/>
        <w:jc w:val="both"/>
      </w:pPr>
      <w:r>
        <w:rPr>
          <w:b/>
          <w:sz w:val="21"/>
        </w:rPr>
        <w:t xml:space="preserve">2.4 Direct Compute Offtake Contract: </w:t>
      </w:r>
      <w:r>
        <w:rPr>
          <w:b w:val="0"/>
          <w:sz w:val="21"/>
        </w:rPr>
        <w:t>“Direct Compute Offtake Contract” means a fully executed and binding agreement whereby a compute buyer commits to purchase or lease hyperscale compute capacity directly from or through OVMG in a manner that provides OVMG with its primary economic stake in a Transaction. Such contract must be finalized, signed by all parties, and result in realized value to OVMG.</w:t>
      </w:r>
    </w:p>
    <w:p>
      <w:pPr>
        <w:spacing w:before="80" w:after="80"/>
        <w:jc w:val="both"/>
      </w:pPr>
      <w:r>
        <w:rPr>
          <w:b/>
          <w:sz w:val="21"/>
        </w:rPr>
        <w:t xml:space="preserve">2.5 Transaction: </w:t>
      </w:r>
      <w:r>
        <w:rPr>
          <w:b w:val="0"/>
          <w:sz w:val="21"/>
        </w:rPr>
        <w:t>“Transaction” means a fully executed and consummated commercial arrangement directly tied to a properly registered, verified, and accepted Qualified Opportunity from which OVMG actually receives realized value. Discussions, proposals, LOIs, term sheets, non-binding indications, exploratory arrangements, unsigned documents, and any deal that does not close and result in realized value to OVMG are not Transactions.</w:t>
      </w:r>
    </w:p>
    <w:p>
      <w:pPr>
        <w:spacing w:before="80" w:after="80"/>
        <w:jc w:val="both"/>
      </w:pPr>
      <w:r>
        <w:rPr>
          <w:b/>
          <w:sz w:val="21"/>
        </w:rPr>
        <w:t xml:space="preserve">2.6 Net Profit: </w:t>
      </w:r>
      <w:r>
        <w:rPr>
          <w:b w:val="0"/>
          <w:sz w:val="21"/>
        </w:rPr>
        <w:t>“Net Profit” means only cash or other realized value actually received and retained by OVMG from the applicable Transaction, less all direct, allocable, and commercially reasonable costs, expenses, fees, liabilities, reserves, taxes, financing costs, transaction costs, consultants, legal, diligence, travel, insurance, compliance, technical, development, labor, management allocation where reasonably attributable, and third-party costs attributable to that Transaction, together with any clawbacks, refunds, offsets, chargebacks, reserves, holdbacks, escrowed amounts not yet released, bad debt, uncollected receivables, and similar downward adjustments. This excludes unrealized or non-cash value unless and until actually monetized or received by OVMG in realized form.</w:t>
      </w:r>
    </w:p>
    <w:p>
      <w:pPr>
        <w:spacing w:before="80" w:after="80"/>
        <w:jc w:val="both"/>
      </w:pPr>
      <w:r>
        <w:rPr>
          <w:b/>
          <w:sz w:val="21"/>
        </w:rPr>
        <w:t xml:space="preserve">2.7 Material Participation: </w:t>
      </w:r>
      <w:r>
        <w:rPr>
          <w:b w:val="0"/>
          <w:sz w:val="21"/>
        </w:rPr>
        <w:t>“Material Participation” means Party B’s objectively meaningful contribution that is materially sufficient to help OVMG obtain its economic stake in the specific closed Transaction. General advice, passive association, being copied on emails, attending calls without substantive contribution, introductions without meaningful follow-through, and vague strategic input do not by themselves qualify. Material Participation must be documented, directly tied to the specific closed deal, and be a meaningful cause of OVMG actually receiving its economics.</w:t>
      </w:r>
    </w:p>
    <w:p>
      <w:pPr>
        <w:spacing w:before="80" w:after="80"/>
        <w:jc w:val="both"/>
      </w:pPr>
      <w:r>
        <w:rPr>
          <w:b/>
          <w:sz w:val="21"/>
        </w:rPr>
        <w:t xml:space="preserve">2.8 Downstream Referral: </w:t>
      </w:r>
      <w:r>
        <w:rPr>
          <w:b w:val="0"/>
          <w:sz w:val="21"/>
        </w:rPr>
        <w:t>“Downstream Referral” means a situation where a person introduced by Party B introduces an additional person or relationship that contributes to a Transaction. No automatic compensation or fee shall arise from any Downstream Referral unless the Parties separately sign a written agreement for that specific deal.</w:t>
      </w:r>
    </w:p>
    <w:p>
      <w:pPr>
        <w:spacing w:before="200" w:after="120"/>
        <w:jc w:val="left"/>
        <w:shd w:val="clear" w:color="auto" w:fill="1F3864"/>
      </w:pPr>
      <w:r>
        <w:rPr>
          <w:b/>
          <w:color w:val="FFFFFF"/>
          <w:sz w:val="21"/>
        </w:rPr>
        <w:t xml:space="preserve">  ARTICLE III: SENIOR ADVISOR APPOINTMENT, ROLE, AND MUTUAL OBLIGATIONS  </w:t>
      </w:r>
    </w:p>
    <w:p>
      <w:pPr>
        <w:spacing w:before="80" w:after="80"/>
        <w:jc w:val="both"/>
      </w:pPr>
      <w:r>
        <w:rPr>
          <w:b/>
          <w:sz w:val="21"/>
        </w:rPr>
        <w:t xml:space="preserve">3.1 Senior Advisor Appointment: </w:t>
      </w:r>
      <w:r>
        <w:rPr>
          <w:b w:val="0"/>
          <w:sz w:val="21"/>
        </w:rPr>
        <w:t>Party A appoints Party B, on a non-exclusive basis, as a Senior Advisor to assist in identifying, introducing, and supporting high-value Opportunities during the Term of this Agreement. The Senior Advisor designation reflects Party B's elevated access, advisory responsibilities, and corresponding compensation structure.</w:t>
      </w:r>
    </w:p>
    <w:p>
      <w:pPr>
        <w:spacing w:before="80" w:after="80"/>
        <w:jc w:val="both"/>
      </w:pPr>
      <w:r>
        <w:rPr>
          <w:b/>
          <w:sz w:val="21"/>
        </w:rPr>
        <w:t xml:space="preserve">3.2 Party B’s Participation: </w:t>
      </w:r>
      <w:r>
        <w:rPr>
          <w:b w:val="0"/>
          <w:sz w:val="21"/>
        </w:rPr>
        <w:t>As Senior Advisor, Party B agrees to contribute to the partnership through activities including, but not limited to:</w:t>
      </w:r>
    </w:p>
    <w:p>
      <w:pPr>
        <w:pStyle w:val="ListBullet"/>
        <w:spacing w:before="40" w:after="40"/>
        <w:ind w:left="576"/>
      </w:pPr>
      <w:r>
        <w:rPr>
          <w:sz w:val="21"/>
        </w:rPr>
        <w:t>Attending and actively participating in OVMG’s regularly scheduled weekly strategy and partnership calls, except in cases of documented prior conflict or illness;</w:t>
      </w:r>
    </w:p>
    <w:p>
      <w:pPr>
        <w:pStyle w:val="ListBullet"/>
        <w:spacing w:before="40" w:after="40"/>
        <w:ind w:left="576"/>
      </w:pPr>
      <w:r>
        <w:rPr>
          <w:sz w:val="21"/>
        </w:rPr>
        <w:t>Contributing to the best of Party B’s ability toward OVMG’s strategic objectives at a senior advisory level, including by offering high-value insights, executive-level feedback, and subject-matter expertise relevant to active Opportunities;</w:t>
      </w:r>
    </w:p>
    <w:p>
      <w:pPr>
        <w:pStyle w:val="ListBullet"/>
        <w:spacing w:before="40" w:after="40"/>
        <w:ind w:left="576"/>
      </w:pPr>
      <w:r>
        <w:rPr>
          <w:sz w:val="21"/>
        </w:rPr>
        <w:t>Providing value through introductions, connections, and relationships at decision-maker and executive levels that may benefit OVMG’s business development, deal pipeline, or operational capabilities;</w:t>
      </w:r>
    </w:p>
    <w:p>
      <w:pPr>
        <w:pStyle w:val="ListBullet"/>
        <w:spacing w:before="40" w:after="40"/>
        <w:ind w:left="576"/>
      </w:pPr>
      <w:r>
        <w:rPr>
          <w:sz w:val="21"/>
        </w:rPr>
        <w:t>Sourcing or introducing Leads, compute partners, capital sources, project sites, or other strategic relationships at a caliber consistent with the Senior Advisor role;</w:t>
      </w:r>
    </w:p>
    <w:p>
      <w:pPr>
        <w:pStyle w:val="ListBullet"/>
        <w:spacing w:before="40" w:after="40"/>
        <w:ind w:left="576"/>
      </w:pPr>
      <w:r>
        <w:rPr>
          <w:sz w:val="21"/>
        </w:rPr>
        <w:t>Participating in and leading strategic discussions, negotiations, or project structuring as reasonably requested by OVMG;</w:t>
      </w:r>
    </w:p>
    <w:p>
      <w:pPr>
        <w:pStyle w:val="ListBullet"/>
        <w:spacing w:before="40" w:after="40"/>
        <w:ind w:left="576"/>
      </w:pPr>
      <w:r>
        <w:rPr>
          <w:sz w:val="21"/>
        </w:rPr>
        <w:t>Actively working to facilitate the introduction and execution of the Direct Compute Offtake Contract;</w:t>
      </w:r>
    </w:p>
    <w:p>
      <w:pPr>
        <w:pStyle w:val="ListBullet"/>
        <w:spacing w:before="40" w:after="40"/>
        <w:ind w:left="576"/>
      </w:pPr>
      <w:r>
        <w:rPr>
          <w:sz w:val="21"/>
        </w:rPr>
        <w:t>Additional duties specific to Party B’s Senior Advisor role may be added by written amendment to this Agreement without requiring a full restatement.</w:t>
      </w:r>
    </w:p>
    <w:p>
      <w:pPr>
        <w:spacing w:before="80" w:after="80"/>
        <w:jc w:val="both"/>
      </w:pPr>
      <w:r>
        <w:rPr>
          <w:b/>
          <w:sz w:val="21"/>
        </w:rPr>
        <w:t xml:space="preserve">3.3 Party A’s Reciprocal Obligations: </w:t>
      </w:r>
      <w:r>
        <w:rPr>
          <w:b w:val="0"/>
          <w:sz w:val="21"/>
        </w:rPr>
        <w:t>In recognition of the mutual nature of this partnership, Party A agrees to:</w:t>
      </w:r>
    </w:p>
    <w:p>
      <w:pPr>
        <w:pStyle w:val="ListBullet"/>
        <w:spacing w:before="40" w:after="40"/>
        <w:ind w:left="576"/>
      </w:pPr>
      <w:r>
        <w:rPr>
          <w:sz w:val="21"/>
        </w:rPr>
        <w:t>Keep Party B reasonably informed of the status of Opportunities to which Party B has materially contributed;</w:t>
      </w:r>
    </w:p>
    <w:p>
      <w:pPr>
        <w:pStyle w:val="ListBullet"/>
        <w:spacing w:before="40" w:after="40"/>
        <w:ind w:left="576"/>
      </w:pPr>
      <w:r>
        <w:rPr>
          <w:sz w:val="21"/>
        </w:rPr>
        <w:t>Provide Party B with the information, context, and access reasonably necessary for Party B to fulfill its obligations under this Agreement;</w:t>
      </w:r>
    </w:p>
    <w:p>
      <w:pPr>
        <w:pStyle w:val="ListBullet"/>
        <w:spacing w:before="40" w:after="40"/>
        <w:ind w:left="576"/>
      </w:pPr>
      <w:r>
        <w:rPr>
          <w:sz w:val="21"/>
        </w:rPr>
        <w:t>Act in good faith in evaluating all properly submitted Leads, Opportunities, and registrations from Party B;</w:t>
      </w:r>
    </w:p>
    <w:p>
      <w:pPr>
        <w:pStyle w:val="ListBullet"/>
        <w:spacing w:before="40" w:after="40"/>
        <w:ind w:left="576"/>
      </w:pPr>
      <w:r>
        <w:rPr>
          <w:sz w:val="21"/>
        </w:rPr>
        <w:t>Pay all compensation owed to Party B in a timely manner consistent with Article IV;</w:t>
      </w:r>
    </w:p>
    <w:p>
      <w:pPr>
        <w:pStyle w:val="ListBullet"/>
        <w:spacing w:before="40" w:after="40"/>
        <w:ind w:left="576"/>
      </w:pPr>
      <w:r>
        <w:rPr>
          <w:sz w:val="21"/>
        </w:rPr>
        <w:t>Include Party B in relevant weekly calls and partnership activities, and leverage Party B’s senior advisory expertise in strategic decision-making, during the Term.</w:t>
      </w:r>
    </w:p>
    <w:p>
      <w:pPr>
        <w:spacing w:before="80" w:after="80"/>
        <w:jc w:val="both"/>
      </w:pPr>
      <w:r>
        <w:rPr>
          <w:b/>
          <w:sz w:val="21"/>
        </w:rPr>
        <w:t xml:space="preserve">3.4 Independent Contractor: </w:t>
      </w:r>
      <w:r>
        <w:rPr>
          <w:b w:val="0"/>
          <w:sz w:val="21"/>
        </w:rPr>
        <w:t>Party B is an independent contractor and not an employee, agent, broker-dealer, or partner of Party A unless otherwise expressly agreed in writing. Party B has no authority to bind Party A to any agreement without Party A’s prior written authorization.</w:t>
      </w:r>
    </w:p>
    <w:p>
      <w:pPr>
        <w:spacing w:before="80" w:after="80"/>
        <w:jc w:val="both"/>
      </w:pPr>
      <w:r>
        <w:rPr>
          <w:b/>
          <w:sz w:val="21"/>
        </w:rPr>
        <w:t xml:space="preserve">3.5 Active Participation Requirement: </w:t>
      </w:r>
      <w:r>
        <w:rPr>
          <w:b w:val="0"/>
          <w:sz w:val="21"/>
        </w:rPr>
        <w:t>This Agreement shall remain active only so long as Party B remains reasonably active and available to participate in calls, provide senior advisory expertise, assist with high-value relationship development, or otherwise support Opportunities in a meaningful way consistent with Party B’s Senior Advisor role. Passive status, inactivity, or sustained unavailability may result in review and adjustment of deal terms or the Senior Advisor designation as provided in Article VIII.</w:t>
      </w:r>
    </w:p>
    <w:p>
      <w:pPr>
        <w:spacing w:before="80" w:after="80"/>
        <w:jc w:val="both"/>
      </w:pPr>
      <w:r>
        <w:rPr>
          <w:b/>
          <w:sz w:val="21"/>
        </w:rPr>
        <w:t xml:space="preserve">3.6 Securities and Compliance Limitation: </w:t>
      </w:r>
      <w:r>
        <w:rPr>
          <w:b w:val="0"/>
          <w:sz w:val="21"/>
        </w:rPr>
        <w:t>Party B is not authorized by OVMG to act as a broker-dealer, placement agent, investment banker, securities intermediary, finder for securities transactions, or other regulated intermediary unless separately authorized in a compliant written agreement signed by OVMG. Nothing in this Agreement entitles Party B to compensation that would require broker-dealer registration or otherwise violate applicable securities laws. Party B shall comply with all applicable securities, anti-corruption, sanctions, anti-money-laundering, export-control, and similar laws.</w:t>
      </w:r>
    </w:p>
    <w:p>
      <w:pPr>
        <w:spacing w:before="200" w:after="120"/>
        <w:jc w:val="left"/>
        <w:shd w:val="clear" w:color="auto" w:fill="1F3864"/>
      </w:pPr>
      <w:r>
        <w:rPr>
          <w:b/>
          <w:color w:val="FFFFFF"/>
          <w:sz w:val="21"/>
        </w:rPr>
        <w:t xml:space="preserve">  ARTICLE IV: SENIOR ADVISOR STRATEGIC PARTICIPATION ECONOMICS  </w:t>
      </w:r>
    </w:p>
    <w:p>
      <w:pPr>
        <w:spacing w:before="80" w:after="80"/>
        <w:jc w:val="both"/>
      </w:pPr>
      <w:r>
        <w:rPr>
          <w:b/>
          <w:sz w:val="21"/>
        </w:rPr>
        <w:t xml:space="preserve">4.1 Direct Compute Offtake Commission: </w:t>
      </w:r>
      <w:r>
        <w:rPr>
          <w:b w:val="0"/>
          <w:sz w:val="21"/>
        </w:rPr>
        <w:t>Party B shall be entitled to thirty-three and thirty-three hundredths percent (33.33%) of Net Profit derived from the Direct Compute Offtake Contract only if: (i) all conditions precedent under this Agreement are satisfied; (ii) Party B’s documented Material Participation directly contributed to the economic close of that specific Direct Compute Offtake Contract; and (iii) the contribution was materially sufficient to help OVMG obtain its economic stake in that specific Transaction.</w:t>
      </w:r>
    </w:p>
    <w:p>
      <w:pPr>
        <w:spacing w:before="80" w:after="80"/>
        <w:jc w:val="both"/>
      </w:pPr>
      <w:r>
        <w:rPr>
          <w:b/>
          <w:sz w:val="21"/>
        </w:rPr>
        <w:t xml:space="preserve">4.2 General Net Profit Participation: </w:t>
      </w:r>
      <w:r>
        <w:rPr>
          <w:b w:val="0"/>
          <w:sz w:val="21"/>
        </w:rPr>
        <w:t>Party B shall be entitled to three and thirty-three hundredths percent (3.33%) of Net Profit on all other properly registered, verified, and accepted Qualified Opportunities satisfying Article II and Article V, provided Party B’s Material Participation directly contributed to the economic close of each such Transaction.</w:t>
      </w:r>
    </w:p>
    <w:p>
      <w:pPr>
        <w:spacing w:before="80" w:after="80"/>
        <w:jc w:val="both"/>
      </w:pPr>
      <w:r>
        <w:rPr>
          <w:b/>
          <w:sz w:val="21"/>
        </w:rPr>
        <w:t xml:space="preserve">4.3 Priority of Economics; No Stacking: </w:t>
      </w:r>
      <w:r>
        <w:rPr>
          <w:b w:val="0"/>
          <w:sz w:val="21"/>
        </w:rPr>
        <w:t>The 33.33% Direct Compute Offtake commission and the 3.33% general Net Profit participation do not stack on the same Transaction. If both could arguably apply, only one applies, and the specifically designated participation for the applicable deal governs. No duplicate, layered, overlapping, or double compensation is owed for the same underlying deal unless separately agreed in a signed writing.</w:t>
      </w:r>
    </w:p>
    <w:p>
      <w:pPr>
        <w:spacing w:before="80" w:after="80"/>
        <w:jc w:val="both"/>
      </w:pPr>
      <w:r>
        <w:rPr>
          <w:b/>
          <w:sz w:val="21"/>
        </w:rPr>
        <w:t xml:space="preserve">4.4 Payment Timing: </w:t>
      </w:r>
      <w:r>
        <w:rPr>
          <w:b w:val="0"/>
          <w:sz w:val="21"/>
        </w:rPr>
        <w:t>No compensation is due unless and until all conditions precedent are satisfied and OVMG actually receives and retains realized Net Profit from the specific Transaction. Amounts owed shall be payable within thirty (30) days after OVMG receives the corresponding realized Net Profit. OVMG shall provide Party B with a reasonable written payment summary showing the amount received, direct deductions applied, Net Profit calculation, and Party B’s resulting participation amount.</w:t>
      </w:r>
    </w:p>
    <w:p>
      <w:pPr>
        <w:spacing w:before="80" w:after="80"/>
        <w:jc w:val="both"/>
      </w:pPr>
      <w:r>
        <w:rPr>
          <w:b/>
          <w:sz w:val="21"/>
        </w:rPr>
        <w:t xml:space="preserve">4.5 Offsets and Adjustments: </w:t>
      </w:r>
      <w:r>
        <w:rPr>
          <w:b w:val="0"/>
          <w:sz w:val="21"/>
        </w:rPr>
        <w:t>Any payment, if owed, is payable only as and when OVMG actually receives the corresponding realized Net Profit. Installment, staged, milestone, deferred, or partial receipts shall be paid pro rata within thirty (30) days after the corresponding realized proceeds are actually received by OVMG. OVMG may offset only direct, documented, transaction-specific overpayments, clawbacks, chargebacks, refunds, holdbacks, escrow adjustments, and similar downward adjustments directly tied to the applicable Transaction.</w:t>
      </w:r>
    </w:p>
    <w:p>
      <w:pPr>
        <w:spacing w:before="80" w:after="80"/>
        <w:jc w:val="both"/>
      </w:pPr>
      <w:r>
        <w:rPr>
          <w:b/>
          <w:sz w:val="21"/>
        </w:rPr>
        <w:t xml:space="preserve">4.6 Multiple Participants; Downstream Referrals: </w:t>
      </w:r>
      <w:r>
        <w:rPr>
          <w:b w:val="0"/>
          <w:sz w:val="21"/>
        </w:rPr>
        <w:t>Multiple participants and Downstream Referrals do not create automatic split rights. OVMG may allocate economics in a commercially reasonable manner, and any Downstream Referral economics are payable only if separately agreed in a signed writing on a per-deal basis.</w:t>
      </w:r>
    </w:p>
    <w:p>
      <w:pPr>
        <w:spacing w:before="80" w:after="80"/>
        <w:jc w:val="both"/>
      </w:pPr>
      <w:r>
        <w:rPr>
          <w:b/>
          <w:sz w:val="21"/>
        </w:rPr>
        <w:t xml:space="preserve">4.7 Bonuses: </w:t>
      </w:r>
      <w:r>
        <w:rPr>
          <w:b w:val="0"/>
          <w:sz w:val="21"/>
        </w:rPr>
        <w:t>Bonus eligibility, if any, shall be determined by OVMG in its sole discretion based on Party B’s performance, success, and overall contribution to OVMG’s objectives. No bonus is earned, promised, or payable unless separately confirmed by OVMG in writing.</w:t>
      </w:r>
    </w:p>
    <w:p>
      <w:pPr>
        <w:spacing w:before="200" w:after="120"/>
        <w:jc w:val="left"/>
        <w:shd w:val="clear" w:color="auto" w:fill="1F3864"/>
      </w:pPr>
      <w:r>
        <w:rPr>
          <w:b/>
          <w:color w:val="FFFFFF"/>
          <w:sz w:val="21"/>
        </w:rPr>
        <w:t xml:space="preserve">  ARTICLE V: LEAD / OPPORTUNITY REGISTRATION  </w:t>
      </w:r>
    </w:p>
    <w:p>
      <w:pPr>
        <w:spacing w:before="80" w:after="80"/>
        <w:jc w:val="both"/>
      </w:pPr>
      <w:r>
        <w:rPr>
          <w:b/>
          <w:sz w:val="21"/>
        </w:rPr>
        <w:t xml:space="preserve">5.1 Mandatory Registration and Verification: </w:t>
      </w:r>
      <w:r>
        <w:rPr>
          <w:b w:val="0"/>
          <w:sz w:val="21"/>
        </w:rPr>
        <w:t>All Opportunities, Leads, and introductions must be submitted by Party B to OVMG by email; text message alone is not sufficient for registration. Promptly after sending the registration email, Party B must notify OVMG by text message that the registration email was sent and request confirmation of receipt.</w:t>
      </w:r>
    </w:p>
    <w:p>
      <w:pPr>
        <w:spacing w:before="80" w:after="80"/>
        <w:jc w:val="both"/>
      </w:pPr>
      <w:r>
        <w:rPr>
          <w:b w:val="0"/>
          <w:i w:val="0"/>
          <w:sz w:val="21"/>
        </w:rPr>
        <w:t>The registration email must include at least:</w:t>
      </w:r>
    </w:p>
    <w:p>
      <w:pPr>
        <w:pStyle w:val="ListBullet"/>
        <w:spacing w:before="40" w:after="40"/>
        <w:ind w:left="576"/>
      </w:pPr>
      <w:r>
        <w:rPr>
          <w:sz w:val="21"/>
        </w:rPr>
        <w:t>Project or company name</w:t>
      </w:r>
    </w:p>
    <w:p>
      <w:pPr>
        <w:pStyle w:val="ListBullet"/>
        <w:spacing w:before="40" w:after="40"/>
        <w:ind w:left="576"/>
      </w:pPr>
      <w:r>
        <w:rPr>
          <w:sz w:val="21"/>
        </w:rPr>
        <w:t>Contact person</w:t>
      </w:r>
    </w:p>
    <w:p>
      <w:pPr>
        <w:pStyle w:val="ListBullet"/>
        <w:spacing w:before="40" w:after="40"/>
        <w:ind w:left="576"/>
      </w:pPr>
      <w:r>
        <w:rPr>
          <w:sz w:val="21"/>
        </w:rPr>
        <w:t>Contact information</w:t>
      </w:r>
    </w:p>
    <w:p>
      <w:pPr>
        <w:pStyle w:val="ListBullet"/>
        <w:spacing w:before="40" w:after="40"/>
        <w:ind w:left="576"/>
      </w:pPr>
      <w:r>
        <w:rPr>
          <w:sz w:val="21"/>
        </w:rPr>
        <w:t>Date of introduction</w:t>
      </w:r>
    </w:p>
    <w:p>
      <w:pPr>
        <w:pStyle w:val="ListBullet"/>
        <w:spacing w:before="40" w:after="40"/>
        <w:ind w:left="576"/>
      </w:pPr>
      <w:r>
        <w:rPr>
          <w:sz w:val="21"/>
        </w:rPr>
        <w:t>Brief description of the opportunity</w:t>
      </w:r>
    </w:p>
    <w:p>
      <w:pPr>
        <w:spacing w:before="80" w:after="80"/>
        <w:jc w:val="both"/>
      </w:pPr>
      <w:r>
        <w:rPr>
          <w:b w:val="0"/>
          <w:i w:val="0"/>
          <w:sz w:val="21"/>
        </w:rPr>
        <w:t>OVMG shall review each properly submitted registration reasonably and in good faith and shall not unreasonably reject a registration that clearly identifies a new Lead or Opportunity not already in OVMG’s existing pipeline. OVMG will use commercially reasonable efforts to accept, reject, or request clarification within five (5) business days after receipt. Silence is not acceptance, and no compensation is owed unless the opportunity or lead was properly registered by email, text-notified for receipt confirmation, and affirmatively verified and accepted by OVMG in writing.</w:t>
      </w:r>
    </w:p>
    <w:p>
      <w:pPr>
        <w:spacing w:before="200" w:after="120"/>
        <w:jc w:val="left"/>
        <w:shd w:val="clear" w:color="auto" w:fill="1F3864"/>
      </w:pPr>
      <w:r>
        <w:rPr>
          <w:b/>
          <w:color w:val="FFFFFF"/>
          <w:sz w:val="21"/>
        </w:rPr>
        <w:t xml:space="preserve">  ARTICLE VI: MUTUAL NON-CIRCUMVENTION  </w:t>
      </w:r>
    </w:p>
    <w:p>
      <w:pPr>
        <w:spacing w:before="80" w:after="80"/>
        <w:jc w:val="both"/>
      </w:pPr>
      <w:r>
        <w:rPr>
          <w:b/>
          <w:sz w:val="21"/>
        </w:rPr>
        <w:t xml:space="preserve">6.1 Mutual Restricted Conduct: </w:t>
      </w:r>
      <w:r>
        <w:rPr>
          <w:b w:val="0"/>
          <w:sz w:val="21"/>
        </w:rPr>
        <w:t>Neither Party (the “Restricted Party”) shall, directly or indirectly, without the introducing Party’s prior written consent, contact, solicit, negotiate with, or enter into a Transaction with a counterparty or strategic partner introduced by the other Party regarding a Qualified Opportunity or substantially similar matter arising from the same relationship access, where the Restricted Party’s purpose or effect would be to bypass, avoid, disintermediate, or otherwise circumvent the introducing Party. The “Introducing Party” means the Party that first properly registered and introduced the counterparty or opportunity pursuant to Article V.</w:t>
      </w:r>
    </w:p>
    <w:p>
      <w:pPr>
        <w:spacing w:before="80" w:after="80"/>
        <w:jc w:val="both"/>
      </w:pPr>
      <w:r>
        <w:rPr>
          <w:b/>
          <w:sz w:val="21"/>
        </w:rPr>
        <w:t xml:space="preserve">6.2 Mutual Use of Protected Information: </w:t>
      </w:r>
      <w:r>
        <w:rPr>
          <w:b w:val="0"/>
          <w:sz w:val="21"/>
        </w:rPr>
        <w:t>Neither Party shall use the other Party’s Confidential Information, relationship access, deal structure, work product, or introductions to bypass, avoid, disintermediate, or circumvent the Introducing Party in connection with a Qualified Opportunity or related Transaction, and shall not knowingly assist another person or entity in doing so.</w:t>
      </w:r>
    </w:p>
    <w:p>
      <w:pPr>
        <w:spacing w:before="80" w:after="80"/>
        <w:jc w:val="both"/>
      </w:pPr>
      <w:r>
        <w:rPr>
          <w:b/>
          <w:sz w:val="21"/>
        </w:rPr>
        <w:t xml:space="preserve">6.3 Carve-Outs: </w:t>
      </w:r>
      <w:r>
        <w:rPr>
          <w:b w:val="0"/>
          <w:sz w:val="21"/>
        </w:rPr>
        <w:t>No claim for circumvention shall arise as to any unregistered, unverified, rejected, previously known, independently sourced, or pre-existing relationship or pipeline matter. This Article does not prohibit either Party from pursuing a relationship if that Party can demonstrate by contemporaneous written records that it had an active, bona fide relationship regarding substantially the same Transaction before the other Party’s introduction or disclosure. This Article does not expand any payment right beyond Articles IV and V.</w:t>
      </w:r>
    </w:p>
    <w:p>
      <w:pPr>
        <w:spacing w:before="80" w:after="80"/>
        <w:jc w:val="both"/>
      </w:pPr>
      <w:r>
        <w:rPr>
          <w:b/>
          <w:sz w:val="21"/>
        </w:rPr>
        <w:t xml:space="preserve">6.4 Survival: </w:t>
      </w:r>
      <w:r>
        <w:rPr>
          <w:b w:val="0"/>
          <w:sz w:val="21"/>
        </w:rPr>
        <w:t>This Article survives for seven (7) years after the specific properly accepted matter is first registered or accepted under Article V, and applies only to that matter.</w:t>
      </w:r>
    </w:p>
    <w:p>
      <w:pPr>
        <w:spacing w:before="200" w:after="120"/>
        <w:jc w:val="left"/>
        <w:shd w:val="clear" w:color="auto" w:fill="1F3864"/>
      </w:pPr>
      <w:r>
        <w:rPr>
          <w:b/>
          <w:color w:val="FFFFFF"/>
          <w:sz w:val="21"/>
        </w:rPr>
        <w:t xml:space="preserve">  ARTICLE VII: CONFIDENTIALITY  </w:t>
      </w:r>
    </w:p>
    <w:p>
      <w:pPr>
        <w:spacing w:before="80" w:after="80"/>
        <w:jc w:val="both"/>
      </w:pPr>
      <w:r>
        <w:rPr>
          <w:b/>
          <w:sz w:val="21"/>
        </w:rPr>
        <w:t xml:space="preserve">7.1 Confidential Information: </w:t>
      </w:r>
      <w:r>
        <w:rPr>
          <w:b w:val="0"/>
          <w:sz w:val="21"/>
        </w:rPr>
        <w:t>“Confidential Information” means non-public information disclosed by one Party to the other in connection with this Agreement, including business plans, project information, counterparties, pricing, economics, relationship access, deal structures, technical information, diligence materials, workflows, systems information, trade secrets, and relationship information, together with notes, analyses, summaries, and materials derived from or reflecting the foregoing.</w:t>
      </w:r>
    </w:p>
    <w:p>
      <w:pPr>
        <w:spacing w:before="80" w:after="80"/>
        <w:jc w:val="both"/>
      </w:pPr>
      <w:r>
        <w:rPr>
          <w:b/>
          <w:sz w:val="21"/>
        </w:rPr>
        <w:t xml:space="preserve">7.2 Use and Disclosure Restrictions: </w:t>
      </w:r>
      <w:r>
        <w:rPr>
          <w:b w:val="0"/>
          <w:sz w:val="21"/>
        </w:rPr>
        <w:t>The receiving Party shall use Confidential Information solely to perform, evaluate, enforce, or receive the benefits of this Agreement, shall not use it for any competing or unauthorized purpose, and shall disclose it only to its representatives who have a need to know and are bound by confidentiality obligations no less protective than this Article.</w:t>
      </w:r>
    </w:p>
    <w:p>
      <w:pPr>
        <w:spacing w:before="80" w:after="80"/>
        <w:jc w:val="both"/>
      </w:pPr>
      <w:r>
        <w:rPr>
          <w:b/>
          <w:sz w:val="21"/>
        </w:rPr>
        <w:t xml:space="preserve">7.3 Exclusions: </w:t>
      </w:r>
      <w:r>
        <w:rPr>
          <w:b w:val="0"/>
          <w:sz w:val="21"/>
        </w:rPr>
        <w:t>Confidential Information does not include information that was already known to the receiving Party without restriction, is or becomes publicly available other than through a breach of this Agreement, is independently developed without use of Confidential Information, or is lawfully received from a third party without a duty of confidentiality.</w:t>
      </w:r>
    </w:p>
    <w:p>
      <w:pPr>
        <w:spacing w:before="80" w:after="80"/>
        <w:jc w:val="both"/>
      </w:pPr>
      <w:r>
        <w:rPr>
          <w:b/>
          <w:sz w:val="21"/>
        </w:rPr>
        <w:t xml:space="preserve">7.4 Compelled Disclosure: </w:t>
      </w:r>
      <w:r>
        <w:rPr>
          <w:b w:val="0"/>
          <w:sz w:val="21"/>
        </w:rPr>
        <w:t>If the receiving Party is required by law, regulation, subpoena, or court order to disclose Confidential Information, it shall, to the extent legally permitted, provide prompt written notice to the disclosing Party and reasonably cooperate in seeking confidential treatment or a protective order.</w:t>
      </w:r>
    </w:p>
    <w:p>
      <w:pPr>
        <w:spacing w:before="80" w:after="80"/>
        <w:jc w:val="both"/>
      </w:pPr>
      <w:r>
        <w:rPr>
          <w:b/>
          <w:sz w:val="21"/>
        </w:rPr>
        <w:t xml:space="preserve">7.5 Return; Destruction: </w:t>
      </w:r>
      <w:r>
        <w:rPr>
          <w:b w:val="0"/>
          <w:sz w:val="21"/>
        </w:rPr>
        <w:t>Upon request or termination of this Agreement, the receiving Party shall promptly cease using Confidential Information and, within ten (10) business days after request, return or destroy it, subject to continuing confidentiality obligations.</w:t>
      </w:r>
    </w:p>
    <w:p>
      <w:pPr>
        <w:spacing w:before="80" w:after="80"/>
        <w:jc w:val="both"/>
      </w:pPr>
      <w:r>
        <w:rPr>
          <w:b/>
          <w:sz w:val="21"/>
        </w:rPr>
        <w:t xml:space="preserve">7.6 Security Incidents: </w:t>
      </w:r>
      <w:r>
        <w:rPr>
          <w:b w:val="0"/>
          <w:sz w:val="21"/>
        </w:rPr>
        <w:t>The receiving Party shall use commercially reasonable safeguards to protect Confidential Information. If the receiving Party discovers any unauthorized access to or disclosure of Confidential Information, it shall notify the disclosing Party no later than forty-eight (48) hours after discovery and cooperate in good faith to contain and mitigate the incident.</w:t>
      </w:r>
    </w:p>
    <w:p>
      <w:pPr>
        <w:spacing w:before="80" w:after="80"/>
        <w:jc w:val="both"/>
      </w:pPr>
      <w:r>
        <w:rPr>
          <w:b/>
          <w:sz w:val="21"/>
        </w:rPr>
        <w:t xml:space="preserve">7.7 Protected Legal Disclosures; DTSA Notice: </w:t>
      </w:r>
      <w:r>
        <w:rPr>
          <w:b w:val="0"/>
          <w:sz w:val="21"/>
        </w:rPr>
        <w:t>Nothing in this Agreement prohibits either Party from reporting possible violations of law to, or participating in any investigation or proceeding conducted by, any governmental agency or entity. Pursuant to 18 U.S.C. Section 1833(b), an individual shall not be held criminally or civilly liable under any federal or state trade secret law for the disclosure of a trade secret made in confidence to a government official or attorney solely for the purpose of reporting or investigating a suspected violation of law.</w:t>
      </w:r>
    </w:p>
    <w:p>
      <w:pPr>
        <w:spacing w:before="80" w:after="80"/>
        <w:jc w:val="both"/>
      </w:pPr>
      <w:r>
        <w:rPr>
          <w:b/>
          <w:sz w:val="21"/>
        </w:rPr>
        <w:t xml:space="preserve">7.8 Intellectual Property Ownership: </w:t>
      </w:r>
      <w:r>
        <w:rPr>
          <w:b w:val="0"/>
          <w:sz w:val="21"/>
        </w:rPr>
        <w:t>Any intellectual property, work product, materials, inventions, developments, documents, data, concepts, strategies, content, or other deliverables created, conceived, or developed by or with Party B in connection with this Agreement or the Parties’ work together under it shall be owned exclusively by OVMG to the maximum extent permitted by law. Party B hereby irrevocably assigns to OVMG all right, title, and interest in and to such intellectual property.</w:t>
      </w:r>
    </w:p>
    <w:p>
      <w:pPr>
        <w:spacing w:before="80" w:after="80"/>
        <w:jc w:val="both"/>
      </w:pPr>
      <w:r>
        <w:rPr>
          <w:b/>
          <w:sz w:val="21"/>
        </w:rPr>
        <w:t xml:space="preserve">7.9 Ownership; Remedies; Survival: </w:t>
      </w:r>
      <w:r>
        <w:rPr>
          <w:b w:val="0"/>
          <w:sz w:val="21"/>
        </w:rPr>
        <w:t>No license or other ownership rights are granted by disclosure of Confidential Information except as expressly set forth in this Agreement. Unauthorized use or disclosure may cause irreparable harm entitling the disclosing Party to seek injunctive relief and other equitable remedies. The confidentiality obligations in this Article survive termination for seven (7) years with respect to Confidential Information generally, and indefinitely with respect to any trade secrets.</w:t>
      </w:r>
    </w:p>
    <w:p>
      <w:pPr>
        <w:spacing w:before="200" w:after="120"/>
        <w:jc w:val="left"/>
        <w:shd w:val="clear" w:color="auto" w:fill="1F3864"/>
      </w:pPr>
      <w:r>
        <w:rPr>
          <w:b/>
          <w:color w:val="FFFFFF"/>
          <w:sz w:val="21"/>
        </w:rPr>
        <w:t xml:space="preserve">  ARTICLE VIII: TERM / TAIL PERIOD  </w:t>
      </w:r>
    </w:p>
    <w:p>
      <w:pPr>
        <w:spacing w:before="80" w:after="80"/>
        <w:jc w:val="both"/>
      </w:pPr>
      <w:r>
        <w:rPr>
          <w:b/>
          <w:sz w:val="21"/>
        </w:rPr>
        <w:t xml:space="preserve">8.1 Term: </w:t>
      </w:r>
      <w:r>
        <w:rPr>
          <w:b w:val="0"/>
          <w:sz w:val="21"/>
        </w:rPr>
        <w:t>This Agreement shall commence on the Effective Date and remain in effect for six (6) months unless earlier terminated.</w:t>
      </w:r>
    </w:p>
    <w:p>
      <w:pPr>
        <w:spacing w:before="80" w:after="80"/>
        <w:jc w:val="both"/>
      </w:pPr>
      <w:r>
        <w:rPr>
          <w:b/>
          <w:sz w:val="21"/>
        </w:rPr>
        <w:t xml:space="preserve">8.2 Review and Renewal: </w:t>
      </w:r>
      <w:r>
        <w:rPr>
          <w:b w:val="0"/>
          <w:sz w:val="21"/>
        </w:rPr>
        <w:t>During the final thirty (30) days of the initial term, the Parties shall hold a mandatory review meeting to discuss whether to continue, modify, or conclude the relationship. If either Party determines in good faith that the other Party is not performing appropriately, not contributing meaningfully at the Senior Advisor level, or not remaining sufficiently active, that Party may elect not to renew the Agreement or may propose revised terms, subject to written confirmation signed by both Parties. Either Party may terminate this Agreement upon thirty (30) days written notice, subject to the tail period in Section 8.3.</w:t>
      </w:r>
    </w:p>
    <w:p>
      <w:pPr>
        <w:spacing w:before="80" w:after="80"/>
        <w:jc w:val="both"/>
      </w:pPr>
      <w:r>
        <w:rPr>
          <w:b/>
          <w:sz w:val="21"/>
        </w:rPr>
        <w:t xml:space="preserve">8.3 Tail Period: </w:t>
      </w:r>
      <w:r>
        <w:rPr>
          <w:b w:val="0"/>
          <w:sz w:val="21"/>
        </w:rPr>
        <w:t>Upon expiration or termination of this Agreement, Party B’s rights under Article IV continue only for a six (6) month tail period. During that tail, Party B may receive only one percent (1%) of Net Profit on a later closed Transaction with a counterparty originally introduced by Party B, and only if that Transaction is consummated during the six (6) month tail and is reasonably traceable to that original introduction. The 1% tail does not apply to unrelated deals, affiliate deals, spin-off deals, successor deals, adjacent projects, future phases, or related projects unless the originally introduced counterparty actually contributed to OVMG obtaining its economic stake in that specific later Transaction.</w:t>
      </w:r>
    </w:p>
    <w:p>
      <w:pPr>
        <w:spacing w:before="200" w:after="120"/>
        <w:jc w:val="left"/>
        <w:shd w:val="clear" w:color="auto" w:fill="1F3864"/>
      </w:pPr>
      <w:r>
        <w:rPr>
          <w:b/>
          <w:color w:val="FFFFFF"/>
          <w:sz w:val="21"/>
        </w:rPr>
        <w:t xml:space="preserve">  ARTICLE IX: REMEDIES  </w:t>
      </w:r>
    </w:p>
    <w:p>
      <w:pPr>
        <w:spacing w:before="80" w:after="80"/>
        <w:jc w:val="both"/>
      </w:pPr>
      <w:r>
        <w:rPr>
          <w:b/>
          <w:sz w:val="21"/>
        </w:rPr>
        <w:t xml:space="preserve">9.1 Injunctive Relief: </w:t>
      </w:r>
      <w:r>
        <w:rPr>
          <w:b w:val="0"/>
          <w:sz w:val="21"/>
        </w:rPr>
        <w:t>The Parties acknowledge that breaches or threatened breaches of the non-circumvention or confidentiality provisions may cause irreparable harm for which monetary damages alone may be inadequate.</w:t>
      </w:r>
    </w:p>
    <w:p>
      <w:pPr>
        <w:spacing w:before="80" w:after="80"/>
        <w:jc w:val="both"/>
      </w:pPr>
      <w:r>
        <w:rPr>
          <w:b/>
          <w:sz w:val="21"/>
        </w:rPr>
        <w:t xml:space="preserve">9.2 Additional Remedies: </w:t>
      </w:r>
      <w:r>
        <w:rPr>
          <w:b w:val="0"/>
          <w:sz w:val="21"/>
        </w:rPr>
        <w:t>The non-breaching Party shall be entitled to seek injunctive relief, specific performance, and other available remedies. The rights and remedies under this Agreement are cumulative and in addition to any other rights or remedies available at law or in equity.</w:t>
      </w:r>
    </w:p>
    <w:p>
      <w:pPr>
        <w:spacing w:before="80" w:after="80"/>
        <w:jc w:val="both"/>
      </w:pPr>
      <w:r>
        <w:rPr>
          <w:b/>
          <w:sz w:val="21"/>
        </w:rPr>
        <w:t xml:space="preserve">9.3 Attorneys’ Fees: </w:t>
      </w:r>
      <w:r>
        <w:rPr>
          <w:b w:val="0"/>
          <w:sz w:val="21"/>
        </w:rPr>
        <w:t>In any action, suit, arbitration, or proceeding arising out of or relating to this Agreement, the prevailing Party shall be entitled to recover its reasonable attorneys’ fees, court costs, expert fees, and other reasonable enforcement expenses from the non-prevailing Party.</w:t>
      </w:r>
    </w:p>
    <w:p>
      <w:pPr>
        <w:spacing w:before="80" w:after="80"/>
        <w:jc w:val="both"/>
      </w:pPr>
      <w:r>
        <w:rPr>
          <w:b/>
          <w:sz w:val="21"/>
        </w:rPr>
        <w:t xml:space="preserve">9.4 Limitation of Liability: </w:t>
      </w:r>
      <w:r>
        <w:rPr>
          <w:b w:val="0"/>
          <w:sz w:val="21"/>
        </w:rPr>
        <w:t>TO THE MAXIMUM EXTENT PERMITTED BY APPLICABLE LAW, NO PARTY SHALL BE LIABLE TO THE OTHER FOR ANY CONSEQUENTIAL, INCIDENTAL, INDIRECT, SPECIAL, EXEMPLARY, SPECULATIVE, PUNITIVE, OR LOST-OPPORTUNITY DAMAGES, OR FOR ANY PROJECTED PROFITS, UNREALIZED BUSINESS OPPORTUNITIES, OR OTHER SPECULATIVE LOSSES, ARISING OUT OF OR RELATING TO THIS AGREEMENT, WHETHER IN CONTRACT, TORT, STRICT LIABILITY, OR OTHERWISE, EVEN IF ADVISED OF THE POSSIBILITY OF SUCH DAMAGES. TO THE MAXIMUM EXTENT PERMITTED BY APPLICABLE LAW, OVMG’S TOTAL AGGREGATE MONETARY LIABILITY SHALL NOT EXCEED THE TOTAL FEES ACTUALLY PAID BY OVMG UNDER THIS AGREEMENT. THE FOREGOING LIMITATIONS SHALL NOT APPLY TO FRAUD, WILLFUL MISCONDUCT, OR OBLIGATIONS THAT CANNOT LEGALLY BE LIMITED OR EXCLUDED.</w:t>
      </w:r>
    </w:p>
    <w:p>
      <w:pPr>
        <w:spacing w:before="200" w:after="120"/>
        <w:jc w:val="left"/>
        <w:shd w:val="clear" w:color="auto" w:fill="1F3864"/>
      </w:pPr>
      <w:r>
        <w:rPr>
          <w:b/>
          <w:color w:val="FFFFFF"/>
          <w:sz w:val="21"/>
        </w:rPr>
        <w:t xml:space="preserve">  ARTICLE X: MISCELLANEOUS  </w:t>
      </w:r>
    </w:p>
    <w:p>
      <w:pPr>
        <w:spacing w:before="80" w:after="80"/>
        <w:jc w:val="both"/>
      </w:pPr>
      <w:r>
        <w:rPr>
          <w:b/>
          <w:sz w:val="21"/>
        </w:rPr>
        <w:t xml:space="preserve">10.1 Governing Law: </w:t>
      </w:r>
      <w:r>
        <w:rPr>
          <w:b w:val="0"/>
          <w:sz w:val="21"/>
        </w:rPr>
        <w:t>This Agreement shall be governed by the laws of the State of Florida.</w:t>
      </w:r>
    </w:p>
    <w:p>
      <w:pPr>
        <w:spacing w:before="80" w:after="80"/>
        <w:jc w:val="both"/>
      </w:pPr>
      <w:r>
        <w:rPr>
          <w:b/>
          <w:sz w:val="21"/>
        </w:rPr>
        <w:t xml:space="preserve">10.2 Venue: </w:t>
      </w:r>
      <w:r>
        <w:rPr>
          <w:b w:val="0"/>
          <w:sz w:val="21"/>
        </w:rPr>
        <w:t>Any action, suit, or proceeding arising out of or relating to this Agreement shall be brought exclusively in the Circuit Court of the Fourth Judicial Circuit in and for Duval County, Florida, or if federal subject matter jurisdiction exists, in the United States District Court for the Middle District of Florida, Jacksonville Division. Each Party irrevocably submits to the personal jurisdiction of those courts and waives any objection based on improper venue or forum non conveniens.</w:t>
      </w:r>
    </w:p>
    <w:p>
      <w:pPr>
        <w:spacing w:before="80" w:after="80"/>
        <w:jc w:val="both"/>
      </w:pPr>
      <w:r>
        <w:rPr>
          <w:b/>
          <w:sz w:val="21"/>
        </w:rPr>
        <w:t xml:space="preserve">10.3 Entire Agreement: </w:t>
      </w:r>
      <w:r>
        <w:rPr>
          <w:b w:val="0"/>
          <w:sz w:val="21"/>
        </w:rPr>
        <w:t>This Agreement constitutes the entire agreement between the Parties regarding its subject matter and supersedes all prior discussions, representations, and agreements related thereto.</w:t>
      </w:r>
    </w:p>
    <w:p>
      <w:pPr>
        <w:spacing w:before="80" w:after="80"/>
        <w:jc w:val="both"/>
      </w:pPr>
      <w:r>
        <w:rPr>
          <w:b/>
          <w:sz w:val="21"/>
        </w:rPr>
        <w:t xml:space="preserve">10.4 Amendments: </w:t>
      </w:r>
      <w:r>
        <w:rPr>
          <w:b w:val="0"/>
          <w:sz w:val="21"/>
        </w:rPr>
        <w:t>This Agreement may only be amended by a written instrument signed by both Parties.</w:t>
      </w:r>
    </w:p>
    <w:p>
      <w:pPr>
        <w:spacing w:before="80" w:after="80"/>
        <w:jc w:val="both"/>
      </w:pPr>
      <w:r>
        <w:rPr>
          <w:b/>
          <w:sz w:val="21"/>
        </w:rPr>
        <w:t xml:space="preserve">10.5 Electronic Signatures: </w:t>
      </w:r>
      <w:r>
        <w:rPr>
          <w:b w:val="0"/>
          <w:sz w:val="21"/>
        </w:rPr>
        <w:t>Electronic signatures shall be deemed valid and enforceable to the same extent as original ink signatures.</w:t>
      </w:r>
    </w:p>
    <w:p>
      <w:pPr>
        <w:spacing w:before="80" w:after="80"/>
        <w:jc w:val="both"/>
      </w:pPr>
      <w:r>
        <w:rPr>
          <w:b/>
          <w:sz w:val="21"/>
        </w:rPr>
        <w:t xml:space="preserve">10.6 Mediation; Good-Faith Dispute Resolution: </w:t>
      </w:r>
      <w:r>
        <w:rPr>
          <w:b w:val="0"/>
          <w:sz w:val="21"/>
        </w:rPr>
        <w:t>Before either Party brings litigation concerning any material dispute arising under this Agreement, the Parties shall first attempt in good faith to resolve the dispute through mediation in Florida before a mutually agreeable mediator. Nothing in this Section shall prevent either Party from seeking temporary injunctive relief where necessary to preserve rights or prevent irreparable harm.</w:t>
      </w:r>
    </w:p>
    <w:p>
      <w:pPr>
        <w:spacing w:before="80" w:after="80"/>
        <w:jc w:val="both"/>
      </w:pPr>
      <w:r>
        <w:rPr>
          <w:b/>
          <w:sz w:val="21"/>
        </w:rPr>
        <w:t xml:space="preserve">10.7 Assignment: </w:t>
      </w:r>
      <w:r>
        <w:rPr>
          <w:b w:val="0"/>
          <w:sz w:val="21"/>
        </w:rPr>
        <w:t>Party B may not assign this Agreement, in whole or in part, without OVMG’s prior written consent, and any purported assignment in violation of this Section is void. OVMG may assign this Agreement without further consent to any affiliate, buyer, merger entity, successor, or purchaser of substantially all relevant assets or business, provided the assignee assumes the applicable obligations in writing.</w:t>
      </w:r>
    </w:p>
    <w:p>
      <w:pPr>
        <w:spacing w:before="80" w:after="80"/>
        <w:jc w:val="both"/>
      </w:pPr>
      <w:r>
        <w:rPr>
          <w:b/>
          <w:sz w:val="21"/>
        </w:rPr>
        <w:t xml:space="preserve">10.8 Notices: </w:t>
      </w:r>
      <w:r>
        <w:rPr>
          <w:b w:val="0"/>
          <w:sz w:val="21"/>
        </w:rPr>
        <w:t>All formal notices under this Agreement must be in writing and may be given by email to the applicable email address shown in the signature block below. Notice by email shall be deemed given when sent, subject to any automated bounce-back or undeliverable indication.</w:t>
      </w:r>
    </w:p>
    <w:p>
      <w:pPr>
        <w:spacing w:before="80" w:after="80"/>
        <w:jc w:val="both"/>
      </w:pPr>
      <w:r>
        <w:rPr>
          <w:b/>
          <w:sz w:val="21"/>
        </w:rPr>
        <w:t xml:space="preserve">10.9 Force Majeure: </w:t>
      </w:r>
      <w:r>
        <w:rPr>
          <w:b w:val="0"/>
          <w:sz w:val="21"/>
        </w:rPr>
        <w:t>No Party shall be liable for any delay or failure in performance under this Agreement, other than obligations to pay amounts already accrued and owed, to the extent caused by events beyond that Party’s reasonable control, including acts of God, natural disasters, war, terrorism, civil unrest, labor disruptions, governmental actions, epidemics, pandemics, utility failures, or internet or telecommunications failures.</w:t>
      </w:r>
    </w:p>
    <w:p>
      <w:pPr>
        <w:spacing w:before="80" w:after="80"/>
        <w:jc w:val="both"/>
      </w:pPr>
      <w:r>
        <w:rPr>
          <w:b/>
          <w:sz w:val="21"/>
        </w:rPr>
        <w:t xml:space="preserve">10.10 Authority: </w:t>
      </w:r>
      <w:r>
        <w:rPr>
          <w:b w:val="0"/>
          <w:sz w:val="21"/>
        </w:rPr>
        <w:t>Each person signing this Agreement represents and warrants that such person has full authority to execute and deliver this Agreement and to bind that Party to its terms.</w:t>
      </w:r>
    </w:p>
    <w:p>
      <w:pPr>
        <w:spacing w:before="80" w:after="80"/>
        <w:jc w:val="both"/>
      </w:pPr>
      <w:r>
        <w:rPr>
          <w:b/>
          <w:sz w:val="21"/>
        </w:rPr>
        <w:t xml:space="preserve">10.11 Compliance; Indemnity: </w:t>
      </w:r>
      <w:r>
        <w:rPr>
          <w:b w:val="0"/>
          <w:sz w:val="21"/>
        </w:rPr>
        <w:t>Party B represents and warrants that it will perform this Agreement in compliance with all applicable laws. Party B shall indemnify, defend, and hold harmless OVMG and its officers, directors, employees, agents, successors, and assigns from and against any third-party claims, losses, damages, liabilities, penalties, fines, costs, and expenses (including reasonable attorneys’ fees) arising out of Party B’s breach of this Agreement, violation of law, unauthorized representations, or unauthorized regulated activity.</w:t>
      </w:r>
    </w:p>
    <w:p>
      <w:pPr>
        <w:spacing w:before="80" w:after="80"/>
        <w:pBdr>
          <w:bottom w:val="single" w:sz="6" w:space="1" w:color="000000"/>
        </w:pBdr>
      </w:pPr>
    </w:p>
    <w:p>
      <w:pPr>
        <w:spacing w:before="120" w:after="120"/>
        <w:jc w:val="center"/>
      </w:pPr>
      <w:r>
        <w:rPr>
          <w:b/>
          <w:i w:val="0"/>
          <w:sz w:val="26"/>
        </w:rPr>
        <w:t>SIGNATURES</w:t>
      </w:r>
    </w:p>
    <w:p>
      <w:pPr>
        <w:spacing w:before="80" w:after="80"/>
        <w:jc w:val="both"/>
      </w:pPr>
      <w:r>
        <w:rPr>
          <w:b w:val="0"/>
          <w:i w:val="0"/>
          <w:sz w:val="21"/>
        </w:rPr>
        <w:t>IN WITNESS WHEREOF, the Parties have executed this Agreement as of the Effective Date. Each signatory represents and warrants that he, she, or it has full authority to execute and deliver this Agreement on behalf of the applicable Party.</w:t>
      </w:r>
    </w:p>
    <w:p>
      <w:pPr>
        <w:spacing w:before="200" w:after="80"/>
      </w:pPr>
      <w:r>
        <w:rPr>
          <w:b/>
          <w:sz w:val="21"/>
        </w:rPr>
        <w:t>PARTY A — OVMG (ONEVIBEMEDIAGROUP, INC.)</w:t>
      </w:r>
    </w:p>
    <w:p>
      <w:pPr>
        <w:spacing w:before="40" w:after="40"/>
      </w:pPr>
      <w:r>
        <w:rPr>
          <w:sz w:val="21"/>
        </w:rPr>
        <w:t>By: ___________________________</w:t>
      </w:r>
    </w:p>
    <w:p>
      <w:pPr>
        <w:spacing w:before="40" w:after="40"/>
      </w:pPr>
      <w:r>
        <w:rPr>
          <w:sz w:val="21"/>
        </w:rPr>
        <w:t>Name: Carsten Gauslow</w:t>
      </w:r>
    </w:p>
    <w:p>
      <w:pPr>
        <w:spacing w:before="40" w:after="40"/>
      </w:pPr>
      <w:r>
        <w:rPr>
          <w:sz w:val="21"/>
        </w:rPr>
        <w:t>Title: Authorized Signatory</w:t>
      </w:r>
    </w:p>
    <w:p>
      <w:pPr>
        <w:spacing w:before="40" w:after="40"/>
      </w:pPr>
      <w:r>
        <w:rPr>
          <w:sz w:val="21"/>
        </w:rPr>
        <w:t>Email: Carsten@onevibemediagroup.com</w:t>
      </w:r>
    </w:p>
    <w:p>
      <w:pPr>
        <w:spacing w:before="40" w:after="40"/>
      </w:pPr>
      <w:r>
        <w:rPr>
          <w:sz w:val="21"/>
        </w:rPr>
        <w:t>Date: ___________________________</w:t>
      </w:r>
    </w:p>
    <w:p>
      <w:pPr>
        <w:spacing w:before="200" w:after="80"/>
      </w:pPr>
      <w:r>
        <w:rPr>
          <w:b/>
          <w:sz w:val="21"/>
        </w:rPr>
        <w:t>PARTY B — [SENIOR ADVISOR FULL LEGAL NAME]</w:t>
      </w:r>
    </w:p>
    <w:p>
      <w:pPr>
        <w:spacing w:before="40" w:after="40"/>
      </w:pPr>
      <w:r>
        <w:rPr>
          <w:sz w:val="21"/>
        </w:rPr>
        <w:t>By: ___________________________</w:t>
      </w:r>
    </w:p>
    <w:p>
      <w:pPr>
        <w:spacing w:before="40" w:after="40"/>
      </w:pPr>
      <w:r>
        <w:rPr>
          <w:sz w:val="21"/>
        </w:rPr>
        <w:t>Name: [SENIOR ADVISOR NAME]</w:t>
      </w:r>
    </w:p>
    <w:p>
      <w:pPr>
        <w:spacing w:before="40" w:after="40"/>
      </w:pPr>
      <w:r>
        <w:rPr>
          <w:sz w:val="21"/>
        </w:rPr>
        <w:t>Title: Senior Advisor / [TITLE]</w:t>
      </w:r>
    </w:p>
    <w:p>
      <w:pPr>
        <w:spacing w:before="40" w:after="40"/>
      </w:pPr>
      <w:r>
        <w:rPr>
          <w:sz w:val="21"/>
        </w:rPr>
        <w:t>Email: [EMAIL ADDRESS]</w:t>
      </w:r>
    </w:p>
    <w:p>
      <w:pPr>
        <w:spacing w:before="40" w:after="40"/>
      </w:pPr>
      <w:r>
        <w:rPr>
          <w:sz w:val="21"/>
        </w:rPr>
        <w:t>Address: [ADDRESS]</w:t>
      </w:r>
    </w:p>
    <w:p>
      <w:pPr>
        <w:spacing w:before="40" w:after="40"/>
      </w:pPr>
      <w:r>
        <w:rPr>
          <w:sz w:val="21"/>
        </w:rPr>
        <w:t>Date: ___________________________</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