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jl8ou3285x0w" w:id="0"/>
      <w:bookmarkEnd w:id="0"/>
      <w:r w:rsidDel="00000000" w:rsidR="00000000" w:rsidRPr="00000000">
        <w:rPr>
          <w:rFonts w:ascii="Times New Roman" w:cs="Times New Roman" w:eastAsia="Times New Roman" w:hAnsi="Times New Roman"/>
          <w:b w:val="1"/>
          <w:bCs w:val="1"/>
          <w:sz w:val="26"/>
          <w:szCs w:val="26"/>
          <w:rtl w:val="0"/>
        </w:rPr>
        <w:t xml:space="preserve">Zero-Shot Industrial Anomaly Detection via Deep Feature Modeling</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Diya Chirag Patel (DPATE331), Saba Bashir Lalani (SBASHIR4), Rohan Shankar Patil (RPATIL5), Rohit Goutam Maity (RMAITY), Kunal Jatin Tamhane (KTAMHANE)</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DSC 445 – Machine Learning 1</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gr7avimrw6zo" w:id="1"/>
      <w:bookmarkEnd w:id="1"/>
      <w:r w:rsidDel="00000000" w:rsidR="00000000" w:rsidRPr="00000000">
        <w:rPr>
          <w:rFonts w:ascii="Times New Roman" w:cs="Times New Roman" w:eastAsia="Times New Roman" w:hAnsi="Times New Roman"/>
          <w:b w:val="1"/>
          <w:bCs w:val="1"/>
          <w:sz w:val="24"/>
          <w:szCs w:val="24"/>
          <w:rtl w:val="0"/>
        </w:rPr>
        <w:t xml:space="preserve">1. Background, Motivation and Significance</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manufacturing loses approximately $1.3 trillion annually to quality failures, with poor quality costing firms up to 20% of their total revenue. In the era of Industry 4.0, traditional human inspection is no longer viable due to subjective bias, physical fatigue, and an inability to scale within automated environments. The cost of an undetected anomaly is staggering — depending on the sector, faulty shipments or unplanned downtime can cost between $36,000 and $2 million per hour.</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challenge in smart factories is that defects are rare, often representing less than 1% of total output. This extreme data imbalance makes it practically impossible to collect enough labeled defective images for standard supervised learning. Industry leaders now require systems capable of identifying abnormal states without having previously encountered a specific defect type.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these challenges through Zero-Shot Deep Feature Modeling using the MVTec Anomaly Detection dataset. Instead of training models to recognize specific defects like scratches or dents, we model the "distribution of perfection." By defining the statistical boundaries of a healthy product using only defect-free training images, our system can flag any deviation as an anomaly. This approach ensures robust quality control even when faced with novel, previously unseen defects.</w:t>
      </w:r>
    </w:p>
    <w:p w:rsidR="00000000" w:rsidDel="00000000" w:rsidP="00000000" w:rsidRDefault="00000000" w:rsidRPr="00000000" w14:paraId="0000000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ete8jh1zx4lz" w:id="2"/>
      <w:bookmarkEnd w:id="2"/>
      <w:r w:rsidDel="00000000" w:rsidR="00000000" w:rsidRPr="00000000">
        <w:rPr>
          <w:rFonts w:ascii="Times New Roman" w:cs="Times New Roman" w:eastAsia="Times New Roman" w:hAnsi="Times New Roman"/>
          <w:b w:val="1"/>
          <w:bCs w:val="1"/>
          <w:sz w:val="24"/>
          <w:szCs w:val="24"/>
          <w:rtl w:val="0"/>
        </w:rPr>
        <w:t xml:space="preserve">2. Research Questions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RQ1:</w:t>
      </w:r>
      <w:r w:rsidDel="00000000" w:rsidR="00000000" w:rsidRPr="00000000">
        <w:rPr>
          <w:rFonts w:ascii="Times New Roman" w:cs="Times New Roman" w:eastAsia="Times New Roman" w:hAnsi="Times New Roman"/>
          <w:sz w:val="24"/>
          <w:szCs w:val="24"/>
          <w:rtl w:val="0"/>
        </w:rPr>
        <w:t xml:space="preserve"> How effectively can deep feature-based one-class models detect unseen industrial defects when trained only on normal samples, addressing the fundamental data scarcity problem in high-stakes manufacturing environments?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RQ2:</w:t>
      </w:r>
      <w:r w:rsidDel="00000000" w:rsidR="00000000" w:rsidRPr="00000000">
        <w:rPr>
          <w:rFonts w:ascii="Times New Roman" w:cs="Times New Roman" w:eastAsia="Times New Roman" w:hAnsi="Times New Roman"/>
          <w:sz w:val="24"/>
          <w:szCs w:val="24"/>
          <w:rtl w:val="0"/>
        </w:rPr>
        <w:t xml:space="preserve"> How do probabilistic models (GMM), kernel methods (One-Class SVM), tree-based methods (Isolation Forest), and density-based methods (DBSCAN) compare in balancing detection sensitivity and false-positive rates across the diverse categories of the MVTec AD dataset?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Fonts w:ascii="Times New Roman" w:cs="Times New Roman" w:eastAsia="Times New Roman" w:hAnsi="Times New Roman"/>
          <w:sz w:val="24"/>
          <w:szCs w:val="24"/>
          <w:rtl w:val="0"/>
        </w:rPr>
        <w:t xml:space="preserve"> We hypothesized that different methods would show distinct performance patterns based on data characteristics. Categories with visually dramatic defects (such as broken bottles or cracked tiles) were expected to be easier to detect across all models, while categories with subtle defects (such as tiny scratches on screws) were expected to challenge all approaches. We also hypothesized that Isolation Forest, with its tree-based ensemble structure, would achieve strong average performance across all categories by effectively isolating anomalies without relying on distributional assumptions.</w:t>
      </w:r>
    </w:p>
    <w:p w:rsidR="00000000" w:rsidDel="00000000" w:rsidP="00000000" w:rsidRDefault="00000000" w:rsidRPr="00000000" w14:paraId="0000000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mqvcyo7hbc58" w:id="3"/>
      <w:bookmarkEnd w:id="3"/>
      <w:r w:rsidDel="00000000" w:rsidR="00000000" w:rsidRPr="00000000">
        <w:rPr>
          <w:rFonts w:ascii="Times New Roman" w:cs="Times New Roman" w:eastAsia="Times New Roman" w:hAnsi="Times New Roman"/>
          <w:b w:val="1"/>
          <w:bCs w:val="1"/>
          <w:sz w:val="24"/>
          <w:szCs w:val="24"/>
          <w:rtl w:val="0"/>
        </w:rPr>
        <w:t xml:space="preserve">3. Dataset Description</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the MVTec Anomaly Detection (MVTec AD) dataset, a real-world benchmark designed for industrial anomaly detection in quality control. The dataset contains high-resolution RGB and grayscale images of 15 product categories, divided into two groups: textures (carpet, grid, leather, tile, wood) and objects (bottle, cable, capsule, hazelnut, metal nut, pill, screw, toothbrush, transistor, zipper).</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set contains approximately 5,354 images, all of which are defect-free. The test set contains approximately 1,725 images — a mix of normal and defective samples across various defect types. Each category has its own unique set of defect types. For example, hazelnut defects include crack, cut, hole, and print, while screw defects include manipulated front, scratch head, scratch neck, thread side, and thread top. Three categories (grid, screw, zipper) are grayscale images, while the remaining twelve are RGB.</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is a binary image-level anomaly label where 0 represents normal (good) and 1 represents anomaly (defective). The input variables are high-dimensional deep feature embeddings extracted from each image using a pretrained convolutional neural network, compressed via dimensionality reduction. We deliberately chose not to use simple accuracy as an evaluation metric because the test sets are imbalanced — most categories have significantly more anomaly images than normal images. Instead, we use AUC-ROC and Average Precision (AP) which evaluate the model's ranking ability rather than hard classification decisions.</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87of8si4ipr4" w:id="4"/>
      <w:bookmarkEnd w:id="4"/>
      <w:r w:rsidDel="00000000" w:rsidR="00000000" w:rsidRPr="00000000">
        <w:rPr>
          <w:rFonts w:ascii="Times New Roman" w:cs="Times New Roman" w:eastAsia="Times New Roman" w:hAnsi="Times New Roman"/>
          <w:b w:val="1"/>
          <w:bCs w:val="1"/>
          <w:sz w:val="24"/>
          <w:szCs w:val="24"/>
          <w:rtl w:val="0"/>
        </w:rPr>
        <w:t xml:space="preserve">4. Methodology</w:t>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qfsl6gy6wp4" w:id="5"/>
      <w:bookmarkEnd w:id="5"/>
      <w:r w:rsidDel="00000000" w:rsidR="00000000" w:rsidRPr="00000000">
        <w:rPr>
          <w:rFonts w:ascii="Times New Roman" w:cs="Times New Roman" w:eastAsia="Times New Roman" w:hAnsi="Times New Roman"/>
          <w:b w:val="1"/>
          <w:bCs w:val="1"/>
          <w:color w:val="000000"/>
          <w:sz w:val="24"/>
          <w:szCs w:val="24"/>
          <w:rtl w:val="0"/>
        </w:rPr>
        <w:t xml:space="preserve">4.1 Pre-processing: Deep Feature Extraction</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working with raw pixel data, we extracted rich feature representations from each image using a pretrained ResNet-18 convolutional neural network. ResNet-18 was trained on millions of images from the ImageNet dataset and has learned to recognize a wide hierarchy of visual features — from low-level edges and textures in early layers to high-level semantic content in deeper layers.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removed the final fully connected classification layer (which is specific to ImageNet's 1,000 categories) and used the output of the average pooling layer as our feature vector. This layer sits at the optimal point in the network — it captures rich semantic content in a compact representation without being tied to ImageNet class labels. The result is a 512-dimensional feature vector for each image, regardless of the original image size.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images were resized to 224×224 pixels (ResNet-18's expected input size) and normalized using ImageNet's mean and standard deviation values. Grayscale images (grid, screw, zipper) were converted to 3-channel RGB by repeating the single channel across all three channels, since ResNet-18 expects RGB input. Feature extraction was performed using PyTorch with Apple Metal (MPS) GPU acceleration. Images were processed in batches of 8 to manage memory constraints. The extracted features were saved to disk as compressed NumPy files (.npz) so that downstream models could load them directly without re-running the extraction.</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ResNet-18 was chosen over larger architectures like ResNet-50 for its lower computational cost while still producing sufficiently rich features — an important consideration since we run multiple downstream models across all 15 categories.</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jp3xrjnz1f5q" w:id="6"/>
      <w:bookmarkEnd w:id="6"/>
      <w:r w:rsidDel="00000000" w:rsidR="00000000" w:rsidRPr="00000000">
        <w:rPr>
          <w:rFonts w:ascii="Times New Roman" w:cs="Times New Roman" w:eastAsia="Times New Roman" w:hAnsi="Times New Roman"/>
          <w:b w:val="1"/>
          <w:bCs w:val="1"/>
          <w:color w:val="000000"/>
          <w:sz w:val="24"/>
          <w:szCs w:val="24"/>
          <w:rtl w:val="0"/>
        </w:rPr>
        <w:t xml:space="preserve">4.2 Pre-processing: Dimensionality Reduction via PCA</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512-dimensional feature vectors, while rich in information, present challenges for our anomaly detection models. Specifically, GMM requires estimating a covariance matrix — with 512 features, this means estimating over 260,000 parameters. With only 200–400 training images per category, the covariance matrix becomes underdetermined and Mahalanobis distance calculations become numerically unstable.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we applied Principal Component Analysis (PCA) to reduce dimensionality while retaining 95% of the explained variance. PCA was fit exclusively on the training data (defect-free images) and the same transformation was applied to test data — this is critical to prevent data leakage. The number of retained components varied by category: toothbrush required only 35 components (simple, uniform product with just 60 training images), while hazelnut required 141 components (high natural variation in surface texture). Most categories fell in the 65–133 range. After PCA, the features are decorrelated and lower-dimensional, providing a more stable input for all downstream anomaly detection models. Features were standardized to zero mean and unit variance using StandardScaler before applying PCA, with the scaler also fit only on training data.</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16mwat6b906m" w:id="7"/>
      <w:bookmarkEnd w:id="7"/>
      <w:r w:rsidDel="00000000" w:rsidR="00000000" w:rsidRPr="00000000">
        <w:rPr>
          <w:rFonts w:ascii="Times New Roman" w:cs="Times New Roman" w:eastAsia="Times New Roman" w:hAnsi="Times New Roman"/>
          <w:b w:val="1"/>
          <w:bCs w:val="1"/>
          <w:color w:val="000000"/>
          <w:sz w:val="24"/>
          <w:szCs w:val="24"/>
          <w:rtl w:val="0"/>
        </w:rPr>
        <w:t xml:space="preserve">4.3 Anomaly Detection Models</w:t>
      </w:r>
    </w:p>
    <w:p w:rsidR="00000000" w:rsidDel="00000000" w:rsidP="00000000" w:rsidRDefault="00000000" w:rsidRPr="00000000" w14:paraId="0000001A">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wg81rtxaz5pk" w:id="8"/>
      <w:bookmarkEnd w:id="8"/>
      <w:r w:rsidDel="00000000" w:rsidR="00000000" w:rsidRPr="00000000">
        <w:rPr>
          <w:rFonts w:ascii="Times New Roman" w:cs="Times New Roman" w:eastAsia="Times New Roman" w:hAnsi="Times New Roman"/>
          <w:b w:val="1"/>
          <w:bCs w:val="1"/>
          <w:color w:val="000000"/>
          <w:rtl w:val="0"/>
        </w:rPr>
        <w:t xml:space="preserve">4.3.1 Gaussian Mixture Model (GMM) with Mahalanobis Distance</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GMM models the normal training data as a mixture of Gaussian distributions. The optimal number of Gaussian components for each category was determined using the Bayesian Information Criterion (BIC), which balances model fit against complexity. We tested 1 to 15 components per category and selected the value with the lowest BIC. Results showed that 8 categories required 1 component (bottle, cable, capsule, hazelnut, metal nut, pill, toothbrush, transistor) and 7 categories required 2 components (carpet, grid, leather, screw, tile, wood, zipper). We used diagonal covariance type with a small regularization term (reg_covar=1e-4) for numerical stability, which is theoretically appropriate since PCA already decorrelates the features.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anomaly scoring, instead of using the default log-likelihood scoring (score_samples), we explicitly computed the Mahalanobis distance from each test image to each GMM component. Mahalanobis distance measures how far a point is from the center of a distribution while accounting for the shape of that distribution through its covariance structure. Unlike Euclidean distance which treats all directions equally, Mahalanobis distance weights directions by their variance — deviations along low-variance directions are penalized more heavily than deviations along high-variance directions. For categories with multiple GMM components, we computed the Mahalanobis distance to each component and took the minimum distance as the final anomaly score. Normal images, being close to at least one component's center, receive low scores. Anomalous images, being far from all components, receive high scores.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Mahalanobis distance formula is: D_M(x, μ) = sqrt((x - μ)^T × S^(-1) × (x - μ)), where x is the test sample, μ is the component mean, and S is the covariance matrix. For diagonal covariance, this simplifies to: D_M = sqrt(Σ((x_i - μ_i)² / σ_i²)).</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performing categories for GMM were Bottle (0.981 AUC), Tile (0.967 AUC), and Leather (0.931 AUC). The primary challenge was with complex textures like Grid (0.524 AUC) and Screw (0.527 AUC), where defects are too subtle to shift the Mahalanobis distance meaningfully.</w:t>
      </w:r>
    </w:p>
    <w:p w:rsidR="00000000" w:rsidDel="00000000" w:rsidP="00000000" w:rsidRDefault="00000000" w:rsidRPr="00000000" w14:paraId="0000001F">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ypzphz2ltxd4" w:id="9"/>
      <w:bookmarkEnd w:id="9"/>
      <w:r w:rsidDel="00000000" w:rsidR="00000000" w:rsidRPr="00000000">
        <w:rPr>
          <w:rFonts w:ascii="Times New Roman" w:cs="Times New Roman" w:eastAsia="Times New Roman" w:hAnsi="Times New Roman"/>
          <w:b w:val="1"/>
          <w:bCs w:val="1"/>
          <w:color w:val="000000"/>
          <w:rtl w:val="0"/>
        </w:rPr>
        <w:t xml:space="preserve">4.3.2 One-Class SVM (OC-SVM)</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TEAMMATE'S INPUT HERE — describe the OC-SVM methodology, key parameters (RBF kernel, gamma, nu), how the decision function was used for scoring, and key results. Top performers: Bottle (0.987 AUC), Tile (0.972 AUC), Wood (0.939 AUC). Challenges: Carpet (0.792), Metal Nut (0.789).]</w:t>
      </w:r>
    </w:p>
    <w:p w:rsidR="00000000" w:rsidDel="00000000" w:rsidP="00000000" w:rsidRDefault="00000000" w:rsidRPr="00000000" w14:paraId="00000021">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nkfg1cjp1wnr" w:id="10"/>
      <w:bookmarkEnd w:id="10"/>
      <w:r w:rsidDel="00000000" w:rsidR="00000000" w:rsidRPr="00000000">
        <w:rPr>
          <w:rFonts w:ascii="Times New Roman" w:cs="Times New Roman" w:eastAsia="Times New Roman" w:hAnsi="Times New Roman"/>
          <w:b w:val="1"/>
          <w:bCs w:val="1"/>
          <w:color w:val="000000"/>
          <w:rtl w:val="0"/>
        </w:rPr>
        <w:t xml:space="preserve">4.3.3 Isolation Forest</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TEAMMATE'S INPUT HERE — describe the Isolation Forest methodology, how random partitioning isolates anomalies, key parameters (n_estimators=100, contamination), scoring method, and key results. Top performers: Bottle (0.995 AUC), Tile (0.980 AUC), Hazelnut (0.939 AUC). Challenges: Grid (0.450), Screw (0.565).]</w:t>
      </w:r>
    </w:p>
    <w:p w:rsidR="00000000" w:rsidDel="00000000" w:rsidP="00000000" w:rsidRDefault="00000000" w:rsidRPr="00000000" w14:paraId="00000023">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swfdqlsfu2jv" w:id="11"/>
      <w:bookmarkEnd w:id="11"/>
      <w:r w:rsidDel="00000000" w:rsidR="00000000" w:rsidRPr="00000000">
        <w:rPr>
          <w:rFonts w:ascii="Times New Roman" w:cs="Times New Roman" w:eastAsia="Times New Roman" w:hAnsi="Times New Roman"/>
          <w:b w:val="1"/>
          <w:bCs w:val="1"/>
          <w:color w:val="000000"/>
          <w:rtl w:val="0"/>
        </w:rPr>
        <w:t xml:space="preserve">4.3.4 DBSCAN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TEAMMATE'S INPUT HERE — describe the DBSCAN methodology, how anomaly scores were derived from cluster assignments (noise points vs cluster members), how eps was selected (automated search), key parameters, and key results. Top performers: Bottle (0.994 AUC), Tile (0.972 AUC), Hazelnut (0.949 AUC). Challenges: Grid (0.450), Screw (0.701). Note: explain how DBSCAN was converted from a clustering algorithm into an anomaly scoring model.]</w:t>
      </w:r>
    </w:p>
    <w:p w:rsidR="00000000" w:rsidDel="00000000" w:rsidP="00000000" w:rsidRDefault="00000000" w:rsidRPr="00000000" w14:paraId="0000002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nd0tcjt8c0b9" w:id="12"/>
      <w:bookmarkEnd w:id="12"/>
      <w:r w:rsidDel="00000000" w:rsidR="00000000" w:rsidRPr="00000000">
        <w:rPr>
          <w:rFonts w:ascii="Times New Roman" w:cs="Times New Roman" w:eastAsia="Times New Roman" w:hAnsi="Times New Roman"/>
          <w:b w:val="1"/>
          <w:bCs w:val="1"/>
          <w:sz w:val="24"/>
          <w:szCs w:val="24"/>
          <w:rtl w:val="0"/>
        </w:rPr>
        <w:t xml:space="preserve">5. Results</w:t>
      </w:r>
    </w:p>
    <w:p w:rsidR="00000000" w:rsidDel="00000000" w:rsidP="00000000" w:rsidRDefault="00000000" w:rsidRPr="00000000" w14:paraId="0000002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l4cta94aopz" w:id="13"/>
      <w:bookmarkEnd w:id="13"/>
      <w:r w:rsidDel="00000000" w:rsidR="00000000" w:rsidRPr="00000000">
        <w:rPr>
          <w:rFonts w:ascii="Times New Roman" w:cs="Times New Roman" w:eastAsia="Times New Roman" w:hAnsi="Times New Roman"/>
          <w:b w:val="1"/>
          <w:bCs w:val="1"/>
          <w:color w:val="000000"/>
          <w:sz w:val="24"/>
          <w:szCs w:val="24"/>
          <w:rtl w:val="0"/>
        </w:rPr>
        <w:t xml:space="preserve">5.1 AUC-ROC Comparison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summarizes the AUC-ROC scores for all four models across all 15 categories: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305"/>
        <w:gridCol w:w="1740"/>
        <w:gridCol w:w="2460"/>
        <w:gridCol w:w="1815"/>
        <w:tblGridChange w:id="0">
          <w:tblGrid>
            <w:gridCol w:w="2025"/>
            <w:gridCol w:w="1305"/>
            <w:gridCol w:w="1740"/>
            <w:gridCol w:w="2460"/>
            <w:gridCol w:w="1815"/>
          </w:tblGrid>
        </w:tblGridChange>
      </w:tblGrid>
      <w:tr>
        <w:trPr>
          <w:cantSplit w:val="0"/>
          <w:trHeight w:val="5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Category</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GMM</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OC-SVM</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Isolation Forest</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DBSCAN</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Bottle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0.981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0.987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0.995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0.994</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Tile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0.967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0.972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0.972</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Leather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0.931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0.934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0.923</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Wood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0.908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0.939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0.924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0.888</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Hazelnut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0.871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0.895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0.939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0.949</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Zipper</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0.854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0.884</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Transistor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0.791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0.804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0.848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0.861</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Toothbrush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0.789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0.789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0.839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0.75</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Cable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0.718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0.824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0.838</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Carpet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0.765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0.792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0.819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0.809</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Capsule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0.731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0.731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0.792</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0.796</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Metal Nut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0.743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0.789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0.891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0.824</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Pill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0.671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0.727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0.752</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0.775</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Screw</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0.527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0.492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0.565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0.701</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Grid</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0.524</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0.519</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0.45</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0.45</w:t>
            </w:r>
            <w:r w:rsidDel="00000000" w:rsidR="00000000" w:rsidRPr="00000000">
              <w:rPr>
                <w:rtl w:val="0"/>
              </w:rPr>
            </w:r>
          </w:p>
        </w:tc>
      </w:tr>
    </w:tbl>
    <w:p w:rsidR="00000000" w:rsidDel="00000000" w:rsidP="00000000" w:rsidRDefault="00000000" w:rsidRPr="00000000" w14:paraId="0000007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nl505f2fqb2" w:id="14"/>
      <w:bookmarkEnd w:id="14"/>
      <w:r w:rsidDel="00000000" w:rsidR="00000000" w:rsidRPr="00000000">
        <w:rPr>
          <w:rFonts w:ascii="Times New Roman" w:cs="Times New Roman" w:eastAsia="Times New Roman" w:hAnsi="Times New Roman"/>
          <w:b w:val="1"/>
          <w:bCs w:val="1"/>
          <w:color w:val="000000"/>
          <w:sz w:val="24"/>
          <w:szCs w:val="24"/>
          <w:rtl w:val="0"/>
        </w:rPr>
        <w:t xml:space="preserve">5.2 Average Precision Comparison</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275"/>
        <w:gridCol w:w="1740"/>
        <w:gridCol w:w="2655"/>
        <w:gridCol w:w="1755"/>
        <w:tblGridChange w:id="0">
          <w:tblGrid>
            <w:gridCol w:w="1920"/>
            <w:gridCol w:w="1275"/>
            <w:gridCol w:w="1740"/>
            <w:gridCol w:w="2655"/>
            <w:gridCol w:w="1755"/>
          </w:tblGrid>
        </w:tblGridChange>
      </w:tblGrid>
      <w:tr>
        <w:trPr>
          <w:cantSplit w:val="0"/>
          <w:trHeight w:val="5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Category</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GMM</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OC-SVM</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Isolation Forest</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rFonts w:ascii="Times New Roman" w:cs="Times New Roman" w:eastAsia="Times New Roman" w:hAnsi="Times New Roman"/>
                <w:b w:val="1"/>
                <w:bCs w:val="1"/>
                <w:color w:val="ffffff"/>
                <w:sz w:val="24"/>
                <w:szCs w:val="24"/>
                <w:rtl w:val="0"/>
              </w:rPr>
              <w:t xml:space="preserve">DBSCAN</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Bottle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0.994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0.996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0.999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0.998</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Tile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0.988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0.993</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0.99</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Leather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0.978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0.979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0.981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0.976</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Wood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0.974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0.982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0.978</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0.968</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Hazelnut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0.938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0.969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0.976</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Metal Nut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0.932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0.971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0.953</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Capsule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0.947</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0.946</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Carpet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0.926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0.937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0.945</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0.941</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Pill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0.919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0.934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0.943</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0.944</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Toothbrush</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0.917</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0.899</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Zipper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0.956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0.949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0.954</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0.963</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Cable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0.831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0.821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0.871</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0.877</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Transistor</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0.784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0.809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0.829</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0.842</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Screw</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0.756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0.777</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0.876</w:t>
            </w:r>
            <w:r w:rsidDel="00000000" w:rsidR="00000000" w:rsidRPr="00000000">
              <w:rPr>
                <w:rtl w:val="0"/>
              </w:rPr>
            </w:r>
          </w:p>
        </w:tc>
      </w:tr>
      <w:tr>
        <w:trPr>
          <w:cantSplit w:val="0"/>
          <w:trHeight w:val="51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Grid</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0.736</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0.721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0.697</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0.703</w:t>
            </w:r>
            <w:r w:rsidDel="00000000" w:rsidR="00000000" w:rsidRPr="00000000">
              <w:rPr>
                <w:rtl w:val="0"/>
              </w:rPr>
            </w:r>
          </w:p>
        </w:tc>
      </w:tr>
    </w:tbl>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km69knig3ot" w:id="15"/>
      <w:bookmarkEnd w:id="15"/>
      <w:r w:rsidDel="00000000" w:rsidR="00000000" w:rsidRPr="00000000">
        <w:rPr>
          <w:rFonts w:ascii="Times New Roman" w:cs="Times New Roman" w:eastAsia="Times New Roman" w:hAnsi="Times New Roman"/>
          <w:b w:val="1"/>
          <w:bCs w:val="1"/>
          <w:color w:val="000000"/>
          <w:sz w:val="24"/>
          <w:szCs w:val="24"/>
          <w:rtl w:val="0"/>
        </w:rPr>
        <w:t xml:space="preserve">5.3 Interpretation of Results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TEAMMATE'S INPUT HERE — interpret the overall results, discuss which model performed best overall, discuss the three tiers of difficulty (easy/moderate/hard categories), and discuss the practical manufacturing implications.]</w:t>
      </w:r>
    </w:p>
    <w:p w:rsidR="00000000" w:rsidDel="00000000" w:rsidP="00000000" w:rsidRDefault="00000000" w:rsidRPr="00000000" w14:paraId="000000C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xzidj2fh2v6p" w:id="16"/>
      <w:bookmarkEnd w:id="16"/>
      <w:r w:rsidDel="00000000" w:rsidR="00000000" w:rsidRPr="00000000">
        <w:rPr>
          <w:rFonts w:ascii="Times New Roman" w:cs="Times New Roman" w:eastAsia="Times New Roman" w:hAnsi="Times New Roman"/>
          <w:b w:val="1"/>
          <w:bCs w:val="1"/>
          <w:color w:val="000000"/>
          <w:sz w:val="24"/>
          <w:szCs w:val="24"/>
          <w:rtl w:val="0"/>
        </w:rPr>
        <w:t xml:space="preserve">5.4 Discussion: Why Did Grid and Screw Fail?</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 (AUC approximately 0.50 across most models) has a periodic, repeating pattern. A defect like a bent wire can look statistically identical to the normal pattern because ResNet-18's global features do not capture spatial periodicity at the level needed to distinguish subtle structural changes.</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Screw (AUC approximately 0.50-0.57 for most models) images are grayscale with subtle defects like tiny scratches and thread variations. The pretrained features from ImageNet may focus on the overall "metallic" texture rather than the fine physical integrity of the screw threads. Additionally, screws vary in orientation across images, adding natural variance that makes it harder to distinguish defects from normal variation.</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potential future improvement would be implementing local feature descriptors with patch-level modeling instead of global image embeddings. By analyzing small patches of the image rather than the whole image at once, the system could detect localized defects that get lost in global feature representations.</w:t>
      </w:r>
    </w:p>
    <w:p w:rsidR="00000000" w:rsidDel="00000000" w:rsidP="00000000" w:rsidRDefault="00000000" w:rsidRPr="00000000" w14:paraId="000000C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d5jam7vf3yy" w:id="17"/>
      <w:bookmarkEnd w:id="17"/>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TEAMMATE'S INPUT HERE — summarize key findings, discuss business impact, mention the effectiveness of deep features for zero-shot detection, discuss which models work best for which scenarios, and suggest future improvements.]</w:t>
      </w:r>
    </w:p>
    <w:p w:rsidR="00000000" w:rsidDel="00000000" w:rsidP="00000000" w:rsidRDefault="00000000" w:rsidRPr="00000000" w14:paraId="000000D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n6fug5o53ous" w:id="18"/>
      <w:bookmarkEnd w:id="18"/>
      <w:r w:rsidDel="00000000" w:rsidR="00000000" w:rsidRPr="00000000">
        <w:rPr>
          <w:rFonts w:ascii="Times New Roman" w:cs="Times New Roman" w:eastAsia="Times New Roman" w:hAnsi="Times New Roman"/>
          <w:b w:val="1"/>
          <w:bCs w:val="1"/>
          <w:sz w:val="24"/>
          <w:szCs w:val="24"/>
          <w:rtl w:val="0"/>
        </w:rPr>
        <w:t xml:space="preserve">7. References</w:t>
      </w:r>
    </w:p>
    <w:p w:rsidR="00000000" w:rsidDel="00000000" w:rsidP="00000000" w:rsidRDefault="00000000" w:rsidRPr="00000000" w14:paraId="000000D2">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Siemens (2024). "The True Cost of Downtime." Fortune Global 500 Manufacturing Analysis.</w:t>
      </w:r>
    </w:p>
    <w:p w:rsidR="00000000" w:rsidDel="00000000" w:rsidP="00000000" w:rsidRDefault="00000000" w:rsidRPr="00000000" w14:paraId="000000D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Society for Quality (2019). "Quality Costs: Definition and Estimation."</w:t>
      </w:r>
    </w:p>
    <w:p w:rsidR="00000000" w:rsidDel="00000000" w:rsidP="00000000" w:rsidRDefault="00000000" w:rsidRPr="00000000" w14:paraId="000000D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REWO (2025). "The True Cost of Downtime from Human Error in Manufacturing."</w:t>
      </w:r>
    </w:p>
    <w:p w:rsidR="00000000" w:rsidDel="00000000" w:rsidP="00000000" w:rsidRDefault="00000000" w:rsidRPr="00000000" w14:paraId="000000D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Senseye (2021). "The True Cost of Downtime Report."</w:t>
      </w:r>
    </w:p>
    <w:p w:rsidR="00000000" w:rsidDel="00000000" w:rsidP="00000000" w:rsidRDefault="00000000" w:rsidRPr="00000000" w14:paraId="000000D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MVTec AD Dataset — https://www.kaggle.com/datasets/ipythonx/mvtec-ad</w:t>
      </w:r>
    </w:p>
    <w:p w:rsidR="00000000" w:rsidDel="00000000" w:rsidP="00000000" w:rsidRDefault="00000000" w:rsidRPr="00000000" w14:paraId="000000D7">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 Zhang, X., Ren, S., &amp; Sun, J. (2016). Deep Residual Learning for Image Recognition. CVPR.</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