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pBdr>
          <w:bottom w:val="single" w:color="2E75B6" w:sz="12" w:space="6"/>
        </w:pBdr>
        <w:spacing w:after="200" w:before="0"/>
        <w:jc w:val="center"/>
      </w:pPr>
      <w:r>
        <w:rPr>
          <w:rFonts w:ascii="Arial" w:cs="Arial" w:eastAsia="Arial" w:hAnsi="Arial"/>
          <w:b/>
          <w:bCs/>
          <w:color w:val="1F3864"/>
          <w:sz w:val="52"/>
          <w:szCs w:val="52"/>
        </w:rPr>
        <w:t xml:space="preserve">PROFESSIONAL PRACTICES REPORT</w:t>
      </w:r>
    </w:p>
    <w:p>
      <w:pPr>
        <w:spacing w:after="0" w:before="160"/>
      </w:pPr>
    </w:p>
    <w:p>
      <w:pPr>
        <w:spacing w:after="120" w:before="0"/>
        <w:jc w:val="center"/>
      </w:pPr>
      <w:r>
        <w:rPr>
          <w:rFonts w:ascii="Arial" w:cs="Arial" w:eastAsia="Arial" w:hAnsi="Arial"/>
          <w:b/>
          <w:bCs/>
          <w:color w:val="2E75B6"/>
          <w:sz w:val="30"/>
          <w:szCs w:val="30"/>
        </w:rPr>
        <w:t xml:space="preserve">Analysis of Professional Practices at Persivia</w:t>
      </w:r>
    </w:p>
    <w:p>
      <w:pPr>
        <w:spacing w:after="800" w:before="0"/>
        <w:jc w:val="center"/>
      </w:pPr>
      <w:r>
        <w:rPr>
          <w:rFonts w:ascii="Arial" w:cs="Arial" w:eastAsia="Arial" w:hAnsi="Arial"/>
          <w:b/>
          <w:bCs/>
          <w:color w:val="2E75B6"/>
          <w:sz w:val="30"/>
          <w:szCs w:val="30"/>
        </w:rPr>
        <w:t xml:space="preserve">and Community Service Initiatives</w:t>
      </w:r>
    </w:p>
    <w:p>
      <w:pPr>
        <w:spacing w:after="60" w:before="0"/>
        <w:jc w:val="center"/>
      </w:pPr>
      <w:r>
        <w:rPr>
          <w:rFonts w:ascii="Arial" w:cs="Arial" w:eastAsia="Arial" w:hAnsi="Arial"/>
          <w:b/>
          <w:bCs/>
          <w:color w:val="595959"/>
          <w:sz w:val="24"/>
          <w:szCs w:val="24"/>
        </w:rPr>
        <w:t xml:space="preserve">Course Title:</w:t>
      </w:r>
    </w:p>
    <w:p>
      <w:pPr>
        <w:spacing w:after="200" w:before="0"/>
        <w:jc w:val="center"/>
      </w:pPr>
      <w:r>
        <w:rPr>
          <w:rFonts w:ascii="Arial" w:cs="Arial" w:eastAsia="Arial" w:hAnsi="Arial"/>
          <w:color w:val="000000"/>
          <w:sz w:val="24"/>
          <w:szCs w:val="24"/>
        </w:rPr>
        <w:t xml:space="preserve">Professional Practices</w:t>
      </w:r>
    </w:p>
    <w:p>
      <w:pPr>
        <w:spacing w:after="60" w:before="0"/>
        <w:jc w:val="center"/>
      </w:pPr>
      <w:r>
        <w:rPr>
          <w:rFonts w:ascii="Arial" w:cs="Arial" w:eastAsia="Arial" w:hAnsi="Arial"/>
          <w:b/>
          <w:bCs/>
          <w:color w:val="595959"/>
          <w:sz w:val="24"/>
          <w:szCs w:val="24"/>
        </w:rPr>
        <w:t xml:space="preserve">Semester:</w:t>
      </w:r>
    </w:p>
    <w:p>
      <w:pPr>
        <w:spacing w:after="300" w:before="0"/>
        <w:jc w:val="center"/>
      </w:pPr>
      <w:r>
        <w:rPr>
          <w:rFonts w:ascii="Arial" w:cs="Arial" w:eastAsia="Arial" w:hAnsi="Arial"/>
          <w:color w:val="000000"/>
          <w:sz w:val="24"/>
          <w:szCs w:val="24"/>
        </w:rPr>
        <w:t xml:space="preserve">Spring 2026</w:t>
      </w:r>
    </w:p>
    <w:p>
      <w:pPr>
        <w:spacing w:after="60" w:before="0"/>
        <w:jc w:val="center"/>
      </w:pPr>
      <w:r>
        <w:rPr>
          <w:rFonts w:ascii="Arial" w:cs="Arial" w:eastAsia="Arial" w:hAnsi="Arial"/>
          <w:b/>
          <w:bCs/>
          <w:color w:val="595959"/>
          <w:sz w:val="24"/>
          <w:szCs w:val="24"/>
        </w:rPr>
        <w:t xml:space="preserve">Submitted By:</w:t>
      </w:r>
    </w:p>
    <w:p>
      <w:pPr>
        <w:spacing w:after="60" w:before="0"/>
        <w:jc w:val="center"/>
      </w:pPr>
      <w:r>
        <w:rPr>
          <w:rFonts w:ascii="Arial" w:cs="Arial" w:eastAsia="Arial" w:hAnsi="Arial"/>
          <w:color w:val="000000"/>
          <w:sz w:val="24"/>
          <w:szCs w:val="24"/>
        </w:rPr>
        <w:t xml:space="preserve">Usman Ali, F2023-750</w:t>
      </w:r>
    </w:p>
    <w:p>
      <w:pPr>
        <w:spacing w:after="60" w:before="0"/>
        <w:jc w:val="center"/>
      </w:pPr>
      <w:r>
        <w:rPr>
          <w:rFonts w:ascii="Arial" w:cs="Arial" w:eastAsia="Arial" w:hAnsi="Arial"/>
          <w:color w:val="000000"/>
          <w:sz w:val="24"/>
          <w:szCs w:val="24"/>
        </w:rPr>
        <w:t xml:space="preserve">Saad Mughal, F2023-009</w:t>
      </w:r>
    </w:p>
    <w:p>
      <w:pPr>
        <w:spacing w:after="500" w:before="0"/>
        <w:jc w:val="center"/>
      </w:pPr>
      <w:r>
        <w:rPr>
          <w:rFonts w:ascii="Arial" w:cs="Arial" w:eastAsia="Arial" w:hAnsi="Arial"/>
          <w:color w:val="000000"/>
          <w:sz w:val="24"/>
          <w:szCs w:val="24"/>
        </w:rPr>
        <w:t xml:space="preserve">Khadijah Zahoor, F2023-956</w:t>
      </w:r>
    </w:p>
    <w:p>
      <w:pPr>
        <w:spacing w:after="60" w:before="0"/>
        <w:jc w:val="center"/>
      </w:pPr>
      <w:r>
        <w:rPr>
          <w:rFonts w:ascii="Arial" w:cs="Arial" w:eastAsia="Arial" w:hAnsi="Arial"/>
          <w:b/>
          <w:bCs/>
          <w:color w:val="595959"/>
          <w:sz w:val="22"/>
          <w:szCs w:val="22"/>
        </w:rPr>
        <w:t xml:space="preserve">Date of Submission:</w:t>
      </w:r>
    </w:p>
    <w:p>
      <w:pPr>
        <w:spacing w:after="0" w:before="0"/>
        <w:jc w:val="center"/>
      </w:pPr>
      <w:r>
        <w:rPr>
          <w:rFonts w:ascii="Arial" w:cs="Arial" w:eastAsia="Arial" w:hAnsi="Arial"/>
          <w:color w:val="000000"/>
          <w:sz w:val="22"/>
          <w:szCs w:val="22"/>
        </w:rPr>
        <w:t xml:space="preserve">May 2026</w:t>
      </w:r>
    </w:p>
    <w:p>
      <w:r>
        <w:br/>
      </w:r>
    </w:p>
    <w:p>
      <w:pPr>
        <w:pStyle w:val="Heading1"/>
        <w:spacing w:after="200" w:before="360"/>
      </w:pPr>
      <w:r>
        <w:rPr>
          <w:rFonts w:ascii="Arial" w:cs="Arial" w:eastAsia="Arial" w:hAnsi="Arial"/>
          <w:b/>
          <w:bCs/>
          <w:color w:val="1F3864"/>
          <w:sz w:val="32"/>
          <w:szCs w:val="32"/>
        </w:rPr>
        <w:t xml:space="preserve">Table of Contents</w:t>
      </w:r>
    </w:p>
    <w:p>
      <w:pPr>
        <w:pBdr>
          <w:bottom w:val="single" w:color="2E75B6" w:sz="6" w:space="1"/>
        </w:pBdr>
        <w:spacing w:after="120" w:before="120"/>
      </w:pPr>
    </w:p>
    <w:p>
      <w:pPr>
        <w:tabs>
          <w:tab w:val="right" w:pos="9000" w:leader="dot"/>
        </w:tabs>
        <w:spacing w:after="60" w:before="60"/>
        <w:jc w:val="left"/>
      </w:pPr>
      <w:r>
        <w:rPr>
          <w:rFonts w:ascii="Arial" w:cs="Arial" w:eastAsia="Arial" w:hAnsi="Arial"/>
          <w:b w:val="false"/>
          <w:bCs w:val="false"/>
          <w:sz w:val="22"/>
          <w:szCs w:val="22"/>
        </w:rPr>
        <w:t xml:space="preserve">1.   Abstract</w:t>
      </w:r>
      <w:r>
        <w:rPr>
          <w:rFonts w:ascii="Arial" w:cs="Arial" w:eastAsia="Arial" w:hAnsi="Arial"/>
          <w:sz w:val="22"/>
          <w:szCs w:val="22"/>
        </w:rPr>
        <w:t xml:space="preserve">	5</w:t>
      </w:r>
    </w:p>
    <w:p>
      <w:pPr>
        <w:tabs>
          <w:tab w:val="right" w:pos="9000" w:leader="dot"/>
        </w:tabs>
        <w:spacing w:after="60" w:before="60"/>
        <w:jc w:val="left"/>
      </w:pPr>
      <w:r>
        <w:rPr>
          <w:rFonts w:ascii="Arial" w:cs="Arial" w:eastAsia="Arial" w:hAnsi="Arial"/>
          <w:b w:val="false"/>
          <w:bCs w:val="false"/>
          <w:sz w:val="22"/>
          <w:szCs w:val="22"/>
        </w:rPr>
        <w:t xml:space="preserve">2.   Introduction</w:t>
      </w:r>
      <w:r>
        <w:rPr>
          <w:rFonts w:ascii="Arial" w:cs="Arial" w:eastAsia="Arial" w:hAnsi="Arial"/>
          <w:sz w:val="22"/>
          <w:szCs w:val="22"/>
        </w:rPr>
        <w:t xml:space="preserve">	5</w:t>
      </w:r>
    </w:p>
    <w:p>
      <w:pPr>
        <w:tabs>
          <w:tab w:val="right" w:pos="9000" w:leader="dot"/>
        </w:tabs>
        <w:spacing w:after="60" w:before="60"/>
        <w:jc w:val="left"/>
      </w:pPr>
      <w:r>
        <w:rPr>
          <w:rFonts w:ascii="Arial" w:cs="Arial" w:eastAsia="Arial" w:hAnsi="Arial"/>
          <w:b w:val="false"/>
          <w:bCs w:val="false"/>
          <w:sz w:val="22"/>
          <w:szCs w:val="22"/>
        </w:rPr>
        <w:t xml:space="preserve">3.   Company Analysis: Persivia</w:t>
      </w:r>
      <w:r>
        <w:rPr>
          <w:rFonts w:ascii="Arial" w:cs="Arial" w:eastAsia="Arial" w:hAnsi="Arial"/>
          <w:sz w:val="22"/>
          <w:szCs w:val="22"/>
        </w:rPr>
        <w:t xml:space="preserve">	6</w:t>
      </w:r>
    </w:p>
    <w:p>
      <w:pPr>
        <w:tabs>
          <w:tab w:val="right" w:pos="9000" w:leader="dot"/>
        </w:tabs>
        <w:spacing w:after="60" w:before="60"/>
        <w:jc w:val="left"/>
      </w:pPr>
      <w:r>
        <w:rPr>
          <w:rFonts w:ascii="Arial" w:cs="Arial" w:eastAsia="Arial" w:hAnsi="Arial"/>
          <w:b w:val="false"/>
          <w:bCs w:val="false"/>
          <w:sz w:val="22"/>
          <w:szCs w:val="22"/>
        </w:rPr>
        <w:t xml:space="preserve">  3.1   Company Introduction</w:t>
      </w:r>
      <w:r>
        <w:rPr>
          <w:rFonts w:ascii="Arial" w:cs="Arial" w:eastAsia="Arial" w:hAnsi="Arial"/>
          <w:sz w:val="22"/>
          <w:szCs w:val="22"/>
        </w:rPr>
        <w:t xml:space="preserve">	6</w:t>
      </w:r>
    </w:p>
    <w:p>
      <w:pPr>
        <w:tabs>
          <w:tab w:val="right" w:pos="9000" w:leader="dot"/>
        </w:tabs>
        <w:spacing w:after="60" w:before="60"/>
        <w:jc w:val="left"/>
      </w:pPr>
      <w:r>
        <w:rPr>
          <w:rFonts w:ascii="Arial" w:cs="Arial" w:eastAsia="Arial" w:hAnsi="Arial"/>
          <w:b w:val="false"/>
          <w:bCs w:val="false"/>
          <w:sz w:val="22"/>
          <w:szCs w:val="22"/>
        </w:rPr>
        <w:t xml:space="preserve">  3.2   Reason for Selecting the Company</w:t>
      </w:r>
      <w:r>
        <w:rPr>
          <w:rFonts w:ascii="Arial" w:cs="Arial" w:eastAsia="Arial" w:hAnsi="Arial"/>
          <w:sz w:val="22"/>
          <w:szCs w:val="22"/>
        </w:rPr>
        <w:t xml:space="preserve">	7</w:t>
      </w:r>
    </w:p>
    <w:p>
      <w:pPr>
        <w:tabs>
          <w:tab w:val="right" w:pos="9000" w:leader="dot"/>
        </w:tabs>
        <w:spacing w:after="60" w:before="60"/>
        <w:jc w:val="left"/>
      </w:pPr>
      <w:r>
        <w:rPr>
          <w:rFonts w:ascii="Arial" w:cs="Arial" w:eastAsia="Arial" w:hAnsi="Arial"/>
          <w:b w:val="false"/>
          <w:bCs w:val="false"/>
          <w:sz w:val="22"/>
          <w:szCs w:val="22"/>
        </w:rPr>
        <w:t xml:space="preserve">  3.3   Services and Solution Portfolio</w:t>
      </w:r>
      <w:r>
        <w:rPr>
          <w:rFonts w:ascii="Arial" w:cs="Arial" w:eastAsia="Arial" w:hAnsi="Arial"/>
          <w:sz w:val="22"/>
          <w:szCs w:val="22"/>
        </w:rPr>
        <w:t xml:space="preserve">	7</w:t>
      </w:r>
    </w:p>
    <w:p>
      <w:pPr>
        <w:tabs>
          <w:tab w:val="right" w:pos="9000" w:leader="dot"/>
        </w:tabs>
        <w:spacing w:after="60" w:before="60"/>
        <w:jc w:val="left"/>
      </w:pPr>
      <w:r>
        <w:rPr>
          <w:rFonts w:ascii="Arial" w:cs="Arial" w:eastAsia="Arial" w:hAnsi="Arial"/>
          <w:b w:val="false"/>
          <w:bCs w:val="false"/>
          <w:sz w:val="22"/>
          <w:szCs w:val="22"/>
        </w:rPr>
        <w:t xml:space="preserve">  3.4   Practical Organogram</w:t>
      </w:r>
      <w:r>
        <w:rPr>
          <w:rFonts w:ascii="Arial" w:cs="Arial" w:eastAsia="Arial" w:hAnsi="Arial"/>
          <w:sz w:val="22"/>
          <w:szCs w:val="22"/>
        </w:rPr>
        <w:t xml:space="preserve">	9</w:t>
      </w:r>
    </w:p>
    <w:p>
      <w:pPr>
        <w:tabs>
          <w:tab w:val="right" w:pos="9000" w:leader="dot"/>
        </w:tabs>
        <w:spacing w:after="60" w:before="60"/>
        <w:jc w:val="left"/>
      </w:pPr>
      <w:r>
        <w:rPr>
          <w:rFonts w:ascii="Arial" w:cs="Arial" w:eastAsia="Arial" w:hAnsi="Arial"/>
          <w:b w:val="false"/>
          <w:bCs w:val="false"/>
          <w:sz w:val="22"/>
          <w:szCs w:val="22"/>
        </w:rPr>
        <w:t xml:space="preserve">4.   Competitor Analysis</w:t>
      </w:r>
      <w:r>
        <w:rPr>
          <w:rFonts w:ascii="Arial" w:cs="Arial" w:eastAsia="Arial" w:hAnsi="Arial"/>
          <w:sz w:val="22"/>
          <w:szCs w:val="22"/>
        </w:rPr>
        <w:t xml:space="preserve">	10</w:t>
      </w:r>
    </w:p>
    <w:p>
      <w:pPr>
        <w:tabs>
          <w:tab w:val="right" w:pos="9000" w:leader="dot"/>
        </w:tabs>
        <w:spacing w:after="60" w:before="60"/>
        <w:jc w:val="left"/>
      </w:pPr>
      <w:r>
        <w:rPr>
          <w:rFonts w:ascii="Arial" w:cs="Arial" w:eastAsia="Arial" w:hAnsi="Arial"/>
          <w:b w:val="false"/>
          <w:bCs w:val="false"/>
          <w:sz w:val="22"/>
          <w:szCs w:val="22"/>
        </w:rPr>
        <w:t xml:space="preserve">  4.1   Main Competitors</w:t>
      </w:r>
      <w:r>
        <w:rPr>
          <w:rFonts w:ascii="Arial" w:cs="Arial" w:eastAsia="Arial" w:hAnsi="Arial"/>
          <w:sz w:val="22"/>
          <w:szCs w:val="22"/>
        </w:rPr>
        <w:t xml:space="preserve">	10</w:t>
      </w:r>
    </w:p>
    <w:p>
      <w:pPr>
        <w:tabs>
          <w:tab w:val="right" w:pos="9000" w:leader="dot"/>
        </w:tabs>
        <w:spacing w:after="60" w:before="60"/>
        <w:jc w:val="left"/>
      </w:pPr>
      <w:r>
        <w:rPr>
          <w:rFonts w:ascii="Arial" w:cs="Arial" w:eastAsia="Arial" w:hAnsi="Arial"/>
          <w:b w:val="false"/>
          <w:bCs w:val="false"/>
          <w:sz w:val="22"/>
          <w:szCs w:val="22"/>
        </w:rPr>
        <w:t xml:space="preserve">  4.2   Competitive Positioning</w:t>
      </w:r>
      <w:r>
        <w:rPr>
          <w:rFonts w:ascii="Arial" w:cs="Arial" w:eastAsia="Arial" w:hAnsi="Arial"/>
          <w:sz w:val="22"/>
          <w:szCs w:val="22"/>
        </w:rPr>
        <w:t xml:space="preserve">	11</w:t>
      </w:r>
    </w:p>
    <w:p>
      <w:pPr>
        <w:tabs>
          <w:tab w:val="right" w:pos="9000" w:leader="dot"/>
        </w:tabs>
        <w:spacing w:after="60" w:before="60"/>
        <w:jc w:val="left"/>
      </w:pPr>
      <w:r>
        <w:rPr>
          <w:rFonts w:ascii="Arial" w:cs="Arial" w:eastAsia="Arial" w:hAnsi="Arial"/>
          <w:b w:val="false"/>
          <w:bCs w:val="false"/>
          <w:sz w:val="22"/>
          <w:szCs w:val="22"/>
        </w:rPr>
        <w:t xml:space="preserve">5.   SWOT Analysis</w:t>
      </w:r>
      <w:r>
        <w:rPr>
          <w:rFonts w:ascii="Arial" w:cs="Arial" w:eastAsia="Arial" w:hAnsi="Arial"/>
          <w:sz w:val="22"/>
          <w:szCs w:val="22"/>
        </w:rPr>
        <w:t xml:space="preserve">	12</w:t>
      </w:r>
    </w:p>
    <w:p>
      <w:pPr>
        <w:tabs>
          <w:tab w:val="right" w:pos="9000" w:leader="dot"/>
        </w:tabs>
        <w:spacing w:after="60" w:before="60"/>
        <w:jc w:val="left"/>
      </w:pPr>
      <w:r>
        <w:rPr>
          <w:rFonts w:ascii="Arial" w:cs="Arial" w:eastAsia="Arial" w:hAnsi="Arial"/>
          <w:b w:val="false"/>
          <w:bCs w:val="false"/>
          <w:sz w:val="22"/>
          <w:szCs w:val="22"/>
        </w:rPr>
        <w:t xml:space="preserve">6.   Company Logo, Outlook, and Promotions</w:t>
      </w:r>
      <w:r>
        <w:rPr>
          <w:rFonts w:ascii="Arial" w:cs="Arial" w:eastAsia="Arial" w:hAnsi="Arial"/>
          <w:sz w:val="22"/>
          <w:szCs w:val="22"/>
        </w:rPr>
        <w:t xml:space="preserve">	14</w:t>
      </w:r>
    </w:p>
    <w:p>
      <w:pPr>
        <w:tabs>
          <w:tab w:val="right" w:pos="9000" w:leader="dot"/>
        </w:tabs>
        <w:spacing w:after="60" w:before="60"/>
        <w:jc w:val="left"/>
      </w:pPr>
      <w:r>
        <w:rPr>
          <w:rFonts w:ascii="Arial" w:cs="Arial" w:eastAsia="Arial" w:hAnsi="Arial"/>
          <w:b w:val="false"/>
          <w:bCs w:val="false"/>
          <w:sz w:val="22"/>
          <w:szCs w:val="22"/>
        </w:rPr>
        <w:t xml:space="preserve">  6.1   Visual Outlook and Branding</w:t>
      </w:r>
      <w:r>
        <w:rPr>
          <w:rFonts w:ascii="Arial" w:cs="Arial" w:eastAsia="Arial" w:hAnsi="Arial"/>
          <w:sz w:val="22"/>
          <w:szCs w:val="22"/>
        </w:rPr>
        <w:t xml:space="preserve">	14</w:t>
      </w:r>
    </w:p>
    <w:p>
      <w:pPr>
        <w:tabs>
          <w:tab w:val="right" w:pos="9000" w:leader="dot"/>
        </w:tabs>
        <w:spacing w:after="60" w:before="60"/>
        <w:jc w:val="left"/>
      </w:pPr>
      <w:r>
        <w:rPr>
          <w:rFonts w:ascii="Arial" w:cs="Arial" w:eastAsia="Arial" w:hAnsi="Arial"/>
          <w:b w:val="false"/>
          <w:bCs w:val="false"/>
          <w:sz w:val="22"/>
          <w:szCs w:val="22"/>
        </w:rPr>
        <w:t xml:space="preserve">  6.2   Website Analysis</w:t>
      </w:r>
      <w:r>
        <w:rPr>
          <w:rFonts w:ascii="Arial" w:cs="Arial" w:eastAsia="Arial" w:hAnsi="Arial"/>
          <w:sz w:val="22"/>
          <w:szCs w:val="22"/>
        </w:rPr>
        <w:t xml:space="preserve">	14</w:t>
      </w:r>
    </w:p>
    <w:p>
      <w:pPr>
        <w:tabs>
          <w:tab w:val="right" w:pos="9000" w:leader="dot"/>
        </w:tabs>
        <w:spacing w:after="60" w:before="60"/>
        <w:jc w:val="left"/>
      </w:pPr>
      <w:r>
        <w:rPr>
          <w:rFonts w:ascii="Arial" w:cs="Arial" w:eastAsia="Arial" w:hAnsi="Arial"/>
          <w:b w:val="false"/>
          <w:bCs w:val="false"/>
          <w:sz w:val="22"/>
          <w:szCs w:val="22"/>
        </w:rPr>
        <w:t xml:space="preserve">  6.3   Marketing Strategy</w:t>
      </w:r>
      <w:r>
        <w:rPr>
          <w:rFonts w:ascii="Arial" w:cs="Arial" w:eastAsia="Arial" w:hAnsi="Arial"/>
          <w:sz w:val="22"/>
          <w:szCs w:val="22"/>
        </w:rPr>
        <w:t xml:space="preserve">	15</w:t>
      </w:r>
    </w:p>
    <w:p>
      <w:pPr>
        <w:tabs>
          <w:tab w:val="right" w:pos="9000" w:leader="dot"/>
        </w:tabs>
        <w:spacing w:after="60" w:before="60"/>
        <w:jc w:val="left"/>
      </w:pPr>
      <w:r>
        <w:rPr>
          <w:rFonts w:ascii="Arial" w:cs="Arial" w:eastAsia="Arial" w:hAnsi="Arial"/>
          <w:b w:val="false"/>
          <w:bCs w:val="false"/>
          <w:sz w:val="22"/>
          <w:szCs w:val="22"/>
        </w:rPr>
        <w:t xml:space="preserve">7.   Topic Selection: Data Ethics and Healthcare</w:t>
      </w:r>
      <w:r>
        <w:rPr>
          <w:rFonts w:ascii="Arial" w:cs="Arial" w:eastAsia="Arial" w:hAnsi="Arial"/>
          <w:sz w:val="22"/>
          <w:szCs w:val="22"/>
        </w:rPr>
        <w:t xml:space="preserve">	16</w:t>
      </w:r>
    </w:p>
    <w:p>
      <w:pPr>
        <w:tabs>
          <w:tab w:val="right" w:pos="9000" w:leader="dot"/>
        </w:tabs>
        <w:spacing w:after="60" w:before="60"/>
        <w:jc w:val="left"/>
      </w:pPr>
      <w:r>
        <w:rPr>
          <w:rFonts w:ascii="Arial" w:cs="Arial" w:eastAsia="Arial" w:hAnsi="Arial"/>
          <w:b w:val="false"/>
          <w:bCs w:val="false"/>
          <w:sz w:val="22"/>
          <w:szCs w:val="22"/>
        </w:rPr>
        <w:t xml:space="preserve">  7.1   Selected Topic Overview</w:t>
      </w:r>
      <w:r>
        <w:rPr>
          <w:rFonts w:ascii="Arial" w:cs="Arial" w:eastAsia="Arial" w:hAnsi="Arial"/>
          <w:sz w:val="22"/>
          <w:szCs w:val="22"/>
        </w:rPr>
        <w:t xml:space="preserve">	16</w:t>
      </w:r>
    </w:p>
    <w:p>
      <w:pPr>
        <w:tabs>
          <w:tab w:val="right" w:pos="9000" w:leader="dot"/>
        </w:tabs>
        <w:spacing w:after="60" w:before="60"/>
        <w:jc w:val="left"/>
      </w:pPr>
      <w:r>
        <w:rPr>
          <w:rFonts w:ascii="Arial" w:cs="Arial" w:eastAsia="Arial" w:hAnsi="Arial"/>
          <w:b w:val="false"/>
          <w:bCs w:val="false"/>
          <w:sz w:val="22"/>
          <w:szCs w:val="22"/>
        </w:rPr>
        <w:t xml:space="preserve">  7.2   Relevance and Importance</w:t>
      </w:r>
      <w:r>
        <w:rPr>
          <w:rFonts w:ascii="Arial" w:cs="Arial" w:eastAsia="Arial" w:hAnsi="Arial"/>
          <w:sz w:val="22"/>
          <w:szCs w:val="22"/>
        </w:rPr>
        <w:t xml:space="preserve">	16</w:t>
      </w:r>
    </w:p>
    <w:p>
      <w:pPr>
        <w:tabs>
          <w:tab w:val="right" w:pos="9000" w:leader="dot"/>
        </w:tabs>
        <w:spacing w:after="60" w:before="60"/>
        <w:jc w:val="left"/>
      </w:pPr>
      <w:r>
        <w:rPr>
          <w:rFonts w:ascii="Arial" w:cs="Arial" w:eastAsia="Arial" w:hAnsi="Arial"/>
          <w:b w:val="false"/>
          <w:bCs w:val="false"/>
          <w:sz w:val="22"/>
          <w:szCs w:val="22"/>
        </w:rPr>
        <w:t xml:space="preserve">8.   Interview Guide and Protocol</w:t>
      </w:r>
      <w:r>
        <w:rPr>
          <w:rFonts w:ascii="Arial" w:cs="Arial" w:eastAsia="Arial" w:hAnsi="Arial"/>
          <w:sz w:val="22"/>
          <w:szCs w:val="22"/>
        </w:rPr>
        <w:t xml:space="preserve">	18</w:t>
      </w:r>
    </w:p>
    <w:p>
      <w:pPr>
        <w:tabs>
          <w:tab w:val="right" w:pos="9000" w:leader="dot"/>
        </w:tabs>
        <w:spacing w:after="60" w:before="60"/>
        <w:jc w:val="left"/>
      </w:pPr>
      <w:r>
        <w:rPr>
          <w:rFonts w:ascii="Arial" w:cs="Arial" w:eastAsia="Arial" w:hAnsi="Arial"/>
          <w:b w:val="false"/>
          <w:bCs w:val="false"/>
          <w:sz w:val="22"/>
          <w:szCs w:val="22"/>
        </w:rPr>
        <w:t xml:space="preserve">  8.1   Interview Methodology</w:t>
      </w:r>
      <w:r>
        <w:rPr>
          <w:rFonts w:ascii="Arial" w:cs="Arial" w:eastAsia="Arial" w:hAnsi="Arial"/>
          <w:sz w:val="22"/>
          <w:szCs w:val="22"/>
        </w:rPr>
        <w:t xml:space="preserve">	18</w:t>
      </w:r>
    </w:p>
    <w:p>
      <w:pPr>
        <w:tabs>
          <w:tab w:val="right" w:pos="9000" w:leader="dot"/>
        </w:tabs>
        <w:spacing w:after="60" w:before="60"/>
        <w:jc w:val="left"/>
      </w:pPr>
      <w:r>
        <w:rPr>
          <w:rFonts w:ascii="Arial" w:cs="Arial" w:eastAsia="Arial" w:hAnsi="Arial"/>
          <w:b w:val="false"/>
          <w:bCs w:val="false"/>
          <w:sz w:val="22"/>
          <w:szCs w:val="22"/>
        </w:rPr>
        <w:t xml:space="preserve">  8.2   Interview Objectives</w:t>
      </w:r>
      <w:r>
        <w:rPr>
          <w:rFonts w:ascii="Arial" w:cs="Arial" w:eastAsia="Arial" w:hAnsi="Arial"/>
          <w:sz w:val="22"/>
          <w:szCs w:val="22"/>
        </w:rPr>
        <w:t xml:space="preserve">	19</w:t>
      </w:r>
    </w:p>
    <w:p>
      <w:pPr>
        <w:tabs>
          <w:tab w:val="right" w:pos="9000" w:leader="dot"/>
        </w:tabs>
        <w:spacing w:after="60" w:before="60"/>
        <w:jc w:val="left"/>
      </w:pPr>
      <w:r>
        <w:rPr>
          <w:rFonts w:ascii="Arial" w:cs="Arial" w:eastAsia="Arial" w:hAnsi="Arial"/>
          <w:b w:val="false"/>
          <w:bCs w:val="false"/>
          <w:sz w:val="22"/>
          <w:szCs w:val="22"/>
        </w:rPr>
        <w:t xml:space="preserve">  8.3   Structured Interview Q&amp;A</w:t>
      </w:r>
      <w:r>
        <w:rPr>
          <w:rFonts w:ascii="Arial" w:cs="Arial" w:eastAsia="Arial" w:hAnsi="Arial"/>
          <w:sz w:val="22"/>
          <w:szCs w:val="22"/>
        </w:rPr>
        <w:t xml:space="preserve">	19</w:t>
      </w:r>
    </w:p>
    <w:p>
      <w:pPr>
        <w:tabs>
          <w:tab w:val="right" w:pos="9000" w:leader="dot"/>
        </w:tabs>
        <w:spacing w:after="60" w:before="60"/>
        <w:jc w:val="left"/>
      </w:pPr>
      <w:r>
        <w:rPr>
          <w:rFonts w:ascii="Arial" w:cs="Arial" w:eastAsia="Arial" w:hAnsi="Arial"/>
          <w:b w:val="false"/>
          <w:bCs w:val="false"/>
          <w:sz w:val="22"/>
          <w:szCs w:val="22"/>
        </w:rPr>
        <w:t xml:space="preserve">9.   Analysis and Findings</w:t>
      </w:r>
      <w:r>
        <w:rPr>
          <w:rFonts w:ascii="Arial" w:cs="Arial" w:eastAsia="Arial" w:hAnsi="Arial"/>
          <w:sz w:val="22"/>
          <w:szCs w:val="22"/>
        </w:rPr>
        <w:t xml:space="preserve">	22</w:t>
      </w:r>
    </w:p>
    <w:p>
      <w:pPr>
        <w:tabs>
          <w:tab w:val="right" w:pos="9000" w:leader="dot"/>
        </w:tabs>
        <w:spacing w:after="60" w:before="60"/>
        <w:jc w:val="left"/>
      </w:pPr>
      <w:r>
        <w:rPr>
          <w:rFonts w:ascii="Arial" w:cs="Arial" w:eastAsia="Arial" w:hAnsi="Arial"/>
          <w:b w:val="false"/>
          <w:bCs w:val="false"/>
          <w:sz w:val="22"/>
          <w:szCs w:val="22"/>
        </w:rPr>
        <w:t xml:space="preserve">  9.1   Key Findings</w:t>
      </w:r>
      <w:r>
        <w:rPr>
          <w:rFonts w:ascii="Arial" w:cs="Arial" w:eastAsia="Arial" w:hAnsi="Arial"/>
          <w:sz w:val="22"/>
          <w:szCs w:val="22"/>
        </w:rPr>
        <w:t xml:space="preserve">	22</w:t>
      </w:r>
    </w:p>
    <w:p>
      <w:pPr>
        <w:tabs>
          <w:tab w:val="right" w:pos="9000" w:leader="dot"/>
        </w:tabs>
        <w:spacing w:after="60" w:before="60"/>
        <w:jc w:val="left"/>
      </w:pPr>
      <w:r>
        <w:rPr>
          <w:rFonts w:ascii="Arial" w:cs="Arial" w:eastAsia="Arial" w:hAnsi="Arial"/>
          <w:b w:val="false"/>
          <w:bCs w:val="false"/>
          <w:sz w:val="22"/>
          <w:szCs w:val="22"/>
        </w:rPr>
        <w:t xml:space="preserve">  9.2   Observations from the Company Visit</w:t>
      </w:r>
      <w:r>
        <w:rPr>
          <w:rFonts w:ascii="Arial" w:cs="Arial" w:eastAsia="Arial" w:hAnsi="Arial"/>
          <w:sz w:val="22"/>
          <w:szCs w:val="22"/>
        </w:rPr>
        <w:t xml:space="preserve">	24</w:t>
      </w:r>
    </w:p>
    <w:p>
      <w:pPr>
        <w:tabs>
          <w:tab w:val="right" w:pos="9000" w:leader="dot"/>
        </w:tabs>
        <w:spacing w:after="60" w:before="60"/>
        <w:jc w:val="left"/>
      </w:pPr>
      <w:r>
        <w:rPr>
          <w:rFonts w:ascii="Arial" w:cs="Arial" w:eastAsia="Arial" w:hAnsi="Arial"/>
          <w:b w:val="false"/>
          <w:bCs w:val="false"/>
          <w:sz w:val="22"/>
          <w:szCs w:val="22"/>
        </w:rPr>
        <w:t xml:space="preserve">  9.3   Impact and Learning Outcomes</w:t>
      </w:r>
      <w:r>
        <w:rPr>
          <w:rFonts w:ascii="Arial" w:cs="Arial" w:eastAsia="Arial" w:hAnsi="Arial"/>
          <w:sz w:val="22"/>
          <w:szCs w:val="22"/>
        </w:rPr>
        <w:t xml:space="preserve">	25</w:t>
      </w:r>
    </w:p>
    <w:p>
      <w:pPr>
        <w:tabs>
          <w:tab w:val="right" w:pos="9000" w:leader="dot"/>
        </w:tabs>
        <w:spacing w:after="60" w:before="60"/>
        <w:jc w:val="left"/>
      </w:pPr>
      <w:r>
        <w:rPr>
          <w:rFonts w:ascii="Arial" w:cs="Arial" w:eastAsia="Arial" w:hAnsi="Arial"/>
          <w:b w:val="false"/>
          <w:bCs w:val="false"/>
          <w:sz w:val="22"/>
          <w:szCs w:val="22"/>
        </w:rPr>
        <w:t xml:space="preserve">  9.4   Ethical and Operational Challenges</w:t>
      </w:r>
      <w:r>
        <w:rPr>
          <w:rFonts w:ascii="Arial" w:cs="Arial" w:eastAsia="Arial" w:hAnsi="Arial"/>
          <w:sz w:val="22"/>
          <w:szCs w:val="22"/>
        </w:rPr>
        <w:t xml:space="preserve">	26</w:t>
      </w:r>
    </w:p>
    <w:p>
      <w:pPr>
        <w:tabs>
          <w:tab w:val="right" w:pos="9000" w:leader="dot"/>
        </w:tabs>
        <w:spacing w:after="60" w:before="60"/>
        <w:jc w:val="left"/>
      </w:pPr>
      <w:r>
        <w:rPr>
          <w:rFonts w:ascii="Arial" w:cs="Arial" w:eastAsia="Arial" w:hAnsi="Arial"/>
          <w:b w:val="false"/>
          <w:bCs w:val="false"/>
          <w:sz w:val="22"/>
          <w:szCs w:val="22"/>
        </w:rPr>
        <w:t xml:space="preserve">  9.5   Future Recommendations</w:t>
      </w:r>
      <w:r>
        <w:rPr>
          <w:rFonts w:ascii="Arial" w:cs="Arial" w:eastAsia="Arial" w:hAnsi="Arial"/>
          <w:sz w:val="22"/>
          <w:szCs w:val="22"/>
        </w:rPr>
        <w:t xml:space="preserve">	27</w:t>
      </w:r>
    </w:p>
    <w:p>
      <w:pPr>
        <w:tabs>
          <w:tab w:val="right" w:pos="9000" w:leader="dot"/>
        </w:tabs>
        <w:spacing w:after="60" w:before="60"/>
        <w:jc w:val="left"/>
      </w:pPr>
      <w:r>
        <w:rPr>
          <w:rFonts w:ascii="Arial" w:cs="Arial" w:eastAsia="Arial" w:hAnsi="Arial"/>
          <w:b w:val="false"/>
          <w:bCs w:val="false"/>
          <w:sz w:val="22"/>
          <w:szCs w:val="22"/>
        </w:rPr>
        <w:t xml:space="preserve">10.   Community Service Report (CSR)</w:t>
      </w:r>
      <w:r>
        <w:rPr>
          <w:rFonts w:ascii="Arial" w:cs="Arial" w:eastAsia="Arial" w:hAnsi="Arial"/>
          <w:sz w:val="22"/>
          <w:szCs w:val="22"/>
        </w:rPr>
        <w:t xml:space="preserve">	29</w:t>
      </w:r>
    </w:p>
    <w:p>
      <w:pPr>
        <w:tabs>
          <w:tab w:val="right" w:pos="9000" w:leader="dot"/>
        </w:tabs>
        <w:spacing w:after="60" w:before="60"/>
        <w:jc w:val="left"/>
      </w:pPr>
      <w:r>
        <w:rPr>
          <w:rFonts w:ascii="Arial" w:cs="Arial" w:eastAsia="Arial" w:hAnsi="Arial"/>
          <w:b w:val="false"/>
          <w:bCs w:val="false"/>
          <w:sz w:val="22"/>
          <w:szCs w:val="22"/>
        </w:rPr>
        <w:t xml:space="preserve">  10.1   Introduction to CSR Initiatives</w:t>
      </w:r>
      <w:r>
        <w:rPr>
          <w:rFonts w:ascii="Arial" w:cs="Arial" w:eastAsia="Arial" w:hAnsi="Arial"/>
          <w:sz w:val="22"/>
          <w:szCs w:val="22"/>
        </w:rPr>
        <w:t xml:space="preserve">	29</w:t>
      </w:r>
    </w:p>
    <w:p>
      <w:pPr>
        <w:tabs>
          <w:tab w:val="right" w:pos="9000" w:leader="dot"/>
        </w:tabs>
        <w:spacing w:after="60" w:before="60"/>
        <w:jc w:val="left"/>
      </w:pPr>
      <w:r>
        <w:rPr>
          <w:rFonts w:ascii="Arial" w:cs="Arial" w:eastAsia="Arial" w:hAnsi="Arial"/>
          <w:b w:val="false"/>
          <w:bCs w:val="false"/>
          <w:sz w:val="22"/>
          <w:szCs w:val="22"/>
        </w:rPr>
        <w:t xml:space="preserve">  10.2   Initiative 1: SDG 4: Quality Education</w:t>
      </w:r>
      <w:r>
        <w:rPr>
          <w:rFonts w:ascii="Arial" w:cs="Arial" w:eastAsia="Arial" w:hAnsi="Arial"/>
          <w:sz w:val="22"/>
          <w:szCs w:val="22"/>
        </w:rPr>
        <w:t xml:space="preserve">	30</w:t>
      </w:r>
    </w:p>
    <w:p>
      <w:pPr>
        <w:tabs>
          <w:tab w:val="right" w:pos="9000" w:leader="dot"/>
        </w:tabs>
        <w:spacing w:after="60" w:before="60"/>
        <w:jc w:val="left"/>
      </w:pPr>
      <w:r>
        <w:rPr>
          <w:rFonts w:ascii="Arial" w:cs="Arial" w:eastAsia="Arial" w:hAnsi="Arial"/>
          <w:b w:val="false"/>
          <w:bCs w:val="false"/>
          <w:sz w:val="22"/>
          <w:szCs w:val="22"/>
        </w:rPr>
        <w:t xml:space="preserve">  10.3   Initiative 2: SDG 13: Climate Action</w:t>
      </w:r>
      <w:r>
        <w:rPr>
          <w:rFonts w:ascii="Arial" w:cs="Arial" w:eastAsia="Arial" w:hAnsi="Arial"/>
          <w:sz w:val="22"/>
          <w:szCs w:val="22"/>
        </w:rPr>
        <w:t xml:space="preserve">	34</w:t>
      </w:r>
    </w:p>
    <w:p>
      <w:pPr>
        <w:tabs>
          <w:tab w:val="right" w:pos="9000" w:leader="dot"/>
        </w:tabs>
        <w:spacing w:after="60" w:before="60"/>
        <w:jc w:val="left"/>
      </w:pPr>
      <w:r>
        <w:rPr>
          <w:rFonts w:ascii="Arial" w:cs="Arial" w:eastAsia="Arial" w:hAnsi="Arial"/>
          <w:b w:val="false"/>
          <w:bCs w:val="false"/>
          <w:sz w:val="22"/>
          <w:szCs w:val="22"/>
        </w:rPr>
        <w:t xml:space="preserve">  10.4   CSR Learning Outcomes and Reflections</w:t>
      </w:r>
      <w:r>
        <w:rPr>
          <w:rFonts w:ascii="Arial" w:cs="Arial" w:eastAsia="Arial" w:hAnsi="Arial"/>
          <w:sz w:val="22"/>
          <w:szCs w:val="22"/>
        </w:rPr>
        <w:t xml:space="preserve">	38</w:t>
      </w:r>
    </w:p>
    <w:p>
      <w:pPr>
        <w:tabs>
          <w:tab w:val="right" w:pos="9000" w:leader="dot"/>
        </w:tabs>
        <w:spacing w:after="60" w:before="60"/>
        <w:jc w:val="left"/>
      </w:pPr>
      <w:r>
        <w:rPr>
          <w:rFonts w:ascii="Arial" w:cs="Arial" w:eastAsia="Arial" w:hAnsi="Arial"/>
          <w:b w:val="false"/>
          <w:bCs w:val="false"/>
          <w:sz w:val="22"/>
          <w:szCs w:val="22"/>
        </w:rPr>
        <w:t xml:space="preserve">11.   Final Conclusion</w:t>
      </w:r>
      <w:r>
        <w:rPr>
          <w:rFonts w:ascii="Arial" w:cs="Arial" w:eastAsia="Arial" w:hAnsi="Arial"/>
          <w:sz w:val="22"/>
          <w:szCs w:val="22"/>
        </w:rPr>
        <w:t xml:space="preserve">	41</w:t>
      </w:r>
    </w:p>
    <w:p>
      <w:pPr>
        <w:tabs>
          <w:tab w:val="right" w:pos="9000" w:leader="dot"/>
        </w:tabs>
        <w:spacing w:after="60" w:before="60"/>
        <w:jc w:val="left"/>
      </w:pPr>
      <w:r>
        <w:rPr>
          <w:rFonts w:ascii="Arial" w:cs="Arial" w:eastAsia="Arial" w:hAnsi="Arial"/>
          <w:b w:val="false"/>
          <w:bCs w:val="false"/>
          <w:sz w:val="22"/>
          <w:szCs w:val="22"/>
        </w:rPr>
        <w:t xml:space="preserve">12.   Group Contributions</w:t>
      </w:r>
      <w:r>
        <w:rPr>
          <w:rFonts w:ascii="Arial" w:cs="Arial" w:eastAsia="Arial" w:hAnsi="Arial"/>
          <w:sz w:val="22"/>
          <w:szCs w:val="22"/>
        </w:rPr>
        <w:t xml:space="preserve">	42</w:t>
      </w:r>
    </w:p>
    <w:p>
      <w:pPr>
        <w:tabs>
          <w:tab w:val="right" w:pos="9000" w:leader="dot"/>
        </w:tabs>
        <w:spacing w:after="60" w:before="60"/>
        <w:jc w:val="left"/>
      </w:pPr>
      <w:r>
        <w:rPr>
          <w:rFonts w:ascii="Arial" w:cs="Arial" w:eastAsia="Arial" w:hAnsi="Arial"/>
          <w:b w:val="false"/>
          <w:bCs w:val="false"/>
          <w:sz w:val="22"/>
          <w:szCs w:val="22"/>
        </w:rPr>
        <w:t xml:space="preserve">13.   References</w:t>
      </w:r>
      <w:r>
        <w:rPr>
          <w:rFonts w:ascii="Arial" w:cs="Arial" w:eastAsia="Arial" w:hAnsi="Arial"/>
          <w:sz w:val="22"/>
          <w:szCs w:val="22"/>
        </w:rPr>
        <w:t xml:space="preserve">	43</w:t>
      </w:r>
    </w:p>
    <w:p>
      <w:r>
        <w:br/>
      </w:r>
    </w:p>
    <w:p>
      <w:pPr>
        <w:pStyle w:val="Heading1"/>
        <w:spacing w:after="200" w:before="360"/>
      </w:pPr>
      <w:r>
        <w:rPr>
          <w:rFonts w:ascii="Arial" w:cs="Arial" w:eastAsia="Arial" w:hAnsi="Arial"/>
          <w:b/>
          <w:bCs/>
          <w:color w:val="1F3864"/>
          <w:sz w:val="32"/>
          <w:szCs w:val="32"/>
        </w:rPr>
        <w:t xml:space="preserve">1. Abstract</w:t>
      </w:r>
    </w:p>
    <w:p>
      <w:pPr>
        <w:pBdr>
          <w:bottom w:val="single" w:color="2E75B6" w:sz="6" w:space="1"/>
        </w:pBdr>
        <w:spacing w:after="120" w:before="120"/>
      </w:pPr>
    </w:p>
    <w:p>
      <w:pPr>
        <w:spacing w:after="120" w:before="80" w:line="276"/>
        <w:jc w:val="both"/>
      </w:pPr>
      <w:r>
        <w:rPr>
          <w:rFonts w:ascii="Arial" w:cs="Arial" w:eastAsia="Arial" w:hAnsi="Arial"/>
          <w:b w:val="false"/>
          <w:bCs w:val="false"/>
          <w:i w:val="false"/>
          <w:iCs w:val="false"/>
          <w:color w:val="000000"/>
          <w:sz w:val="22"/>
          <w:szCs w:val="22"/>
        </w:rPr>
        <w:t xml:space="preserve">This comprehensive report bridges academic theory with practical industry application by exploring professional practices within the healthcare technology sector, followed by the execution of structured community service projects. The first major segment of the report provides an in-depth analysis of Persivia, a U.S.-based healthcare analytics and digital health company with technical operations headquartered in Lahore, Pakistan. Through detailed examination of the company's organizational structure, competitive landscape, market positioning, branding strategy, and an extensive semi-structured professional interview focused on 'Data Ethics and Healthcare,' we evaluate how the organization manages sensitive patient data, navigates complex regulatory compliance frameworks, governs its artificial intelligence systems, and maintains ethical accountability in a high-stakes clinical environment.</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second major segment shifts focus to social responsibility, documenting two distinct community service initiatives aligned with the United Nations Sustainable Development Goals (SDGs). The first initiative addresses SDG 4: Quality Education, realized through a campus-wide bake sale fundraiser and a structured, interactive in-person visit to the School of Ultimate Learning (SOUL) in Bahria Town, Lahore, a non-profit institution serving primary-grade students from underprivileged communities. The second initiative tackles SDG 13: Climate Action, executed through a large-scale, campus-wide tree plantation drive that resulted in the successful planting of over 200 saplings across multiple species, achieved in direct collaboration with the Lahore Conservation Society.</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Together, these interconnected experiences illuminate the critical intersection of professional ethical standards within the corporate technology world and the moral imperative of civic engagement. The report concludes that technical excellence, ethical accountability, and community responsibility are not mutually exclusive pursuits; they are, in fact, the defining characteristics of truly effective and holistic professional practice in the twenty-first century.</w:t>
      </w:r>
    </w:p>
    <w:p>
      <w:r>
        <w:br/>
      </w:r>
    </w:p>
    <w:p>
      <w:pPr>
        <w:pStyle w:val="Heading1"/>
        <w:spacing w:after="200" w:before="360"/>
      </w:pPr>
      <w:r>
        <w:rPr>
          <w:rFonts w:ascii="Arial" w:cs="Arial" w:eastAsia="Arial" w:hAnsi="Arial"/>
          <w:b/>
          <w:bCs/>
          <w:color w:val="1F3864"/>
          <w:sz w:val="32"/>
          <w:szCs w:val="32"/>
        </w:rPr>
        <w:t xml:space="preserve">2. Introduction</w:t>
      </w:r>
    </w:p>
    <w:p>
      <w:pPr>
        <w:pBdr>
          <w:bottom w:val="single" w:color="2E75B6" w:sz="6" w:space="1"/>
        </w:pBdr>
        <w:spacing w:after="120" w:before="120"/>
      </w:pPr>
    </w:p>
    <w:p>
      <w:pPr>
        <w:spacing w:after="120" w:before="80" w:line="276"/>
        <w:jc w:val="both"/>
      </w:pPr>
      <w:r>
        <w:rPr>
          <w:rFonts w:ascii="Arial" w:cs="Arial" w:eastAsia="Arial" w:hAnsi="Arial"/>
          <w:b w:val="false"/>
          <w:bCs w:val="false"/>
          <w:i w:val="false"/>
          <w:iCs w:val="false"/>
          <w:color w:val="000000"/>
          <w:sz w:val="22"/>
          <w:szCs w:val="22"/>
        </w:rPr>
        <w:t xml:space="preserve">In the modern digital era, the integration of Information Technology into healthcare has fundamentally revolutionized how patient care is delivered, monitored, managed, and optimized. Sophisticated data platforms now aggregate patient records across thousands of encounters, enabling healthcare professionals to make clinical decisions informed by population-level trends, predictive risk models, and real-time analytics. However, with the advent of these powerful capabilities, spanning predictive analytics, artificial intelligence, and centralized health data repositories, and the ethical responsibilities placed upon IT professionals, data engineers, and healthcare technology companies have never been greater or more complex.</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For computer science students navigating this evolving professional landscape, understanding how technology companies operate, protect sensitive data, adhere to regulatory compliance standards, and govern their artificial intelligence systems is not merely an academic exercise; it is a foundational professional requirement. The ability to critically evaluate an organization's ethical frameworks, identify systemic gaps, and propose constructive improvements is among the most valuable competencies a technology professional can develop.</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This report explores Persivia, an organization operating at the complex and high-stakes intersection of healthcare and information technology. By conducting a rigorous analysis of the company's internal structures, market competitive positioning, external branding strategies, and a detailed semi-structured interview on the ethics of healthcare data management, we aim to understand how theoretical concepts of data privacy, cybersecurity, algorithmic fairness, and AI governance translate into real-world corporate practice within a mission-critical environment.</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Beyond the corporate technology sphere, this project integrates the core values of professional practice by requiring hands-on community service engagement. The Professional Practices course framework is built on the belief that a complete professional is not solely defined by technical competence; they are equally defined by their willingness to engage with, contribute to, and uplift the communities they inhabit. Engaging with society directly allows students to step outside the abstract world of software engineering and engage with the immediate human needs that technology ultimately exists to serve.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Accordingly, this report is structured into two integrated segments. Section 1 through Section 9 documents the corporate analysis phase, encompassing Persivia's company profile, competitor analysis, SWOT evaluation, visual branding, the selected topic of data ethics in healthcare, the interview protocol, and the resulting findings. Section 10 documents the community service phase, providing a comprehensive account of planning, execution, impact, and reflection for both SDG-aligned initiatives. Together, these segments present a holistic professional development narrative that is simultaneously rigorous, reflective, and rooted in real-world engagement.</w:t>
      </w:r>
    </w:p>
    <w:p>
      <w:r>
        <w:br/>
      </w:r>
    </w:p>
    <w:p>
      <w:pPr>
        <w:pStyle w:val="Heading1"/>
        <w:spacing w:after="200" w:before="360"/>
      </w:pPr>
      <w:r>
        <w:rPr>
          <w:rFonts w:ascii="Arial" w:cs="Arial" w:eastAsia="Arial" w:hAnsi="Arial"/>
          <w:b/>
          <w:bCs/>
          <w:color w:val="1F3864"/>
          <w:sz w:val="32"/>
          <w:szCs w:val="32"/>
        </w:rPr>
        <w:t xml:space="preserve">3. Company Analysis: Persivia</w:t>
      </w:r>
    </w:p>
    <w:p>
      <w:pPr>
        <w:pBdr>
          <w:bottom w:val="single" w:color="2E75B6" w:sz="6" w:space="1"/>
        </w:pBdr>
        <w:spacing w:after="120" w:before="120"/>
      </w:pPr>
    </w:p>
    <w:p>
      <w:pPr>
        <w:pStyle w:val="Heading2"/>
        <w:spacing w:after="140" w:before="280"/>
      </w:pPr>
      <w:r>
        <w:rPr>
          <w:rFonts w:ascii="Arial" w:cs="Arial" w:eastAsia="Arial" w:hAnsi="Arial"/>
          <w:b/>
          <w:bCs/>
          <w:color w:val="2E75B6"/>
          <w:sz w:val="26"/>
          <w:szCs w:val="26"/>
        </w:rPr>
        <w:t xml:space="preserve">3.1 Company Introduction</w:t>
      </w:r>
    </w:p>
    <w:p>
      <w:pPr>
        <w:spacing w:after="120" w:before="80" w:line="276"/>
        <w:jc w:val="both"/>
      </w:pPr>
      <w:r>
        <w:rPr>
          <w:rFonts w:ascii="Arial" w:cs="Arial" w:eastAsia="Arial" w:hAnsi="Arial"/>
          <w:b w:val="false"/>
          <w:bCs w:val="false"/>
          <w:i w:val="false"/>
          <w:iCs w:val="false"/>
          <w:color w:val="000000"/>
          <w:sz w:val="22"/>
          <w:szCs w:val="22"/>
        </w:rPr>
        <w:t xml:space="preserve">Persivia is a U.S.-based healthcare analytics and digital health company with its corporate headquarters located in Marlborough, Massachusetts. The company operates on a globally distributed model: its primary technical engineering and software development operations are conducted from its offices situated in Thokar, Lahore, Pakistan, while marketing, business development, and client-facing operations are primarily managed from the United States. This international structure reflects an increasingly common model in the modern healthcare IT industry, allowing companies to leverage high-caliber technical talent across global markets while maintaining strategic proximity to their primary U.S.-based clientele.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Publicly, Persivia positions itself as an AI-driven digital health platform built around its flagship product, CareSpace®. The company's primary stated mission is to support healthcare providers in successfully transitioning from traditional fee-for-service reimbursement models toward value-based care, a paradigm shift in which providers are financially rewarded based on the quality and efficiency of patient outcomes rather than the volume of services rendered. Founded in 2015 by physicians and healthcare IT professionals, Persivia claims extensive industry experience, supporting over 200 hospitals, more than 1,200 active users, approximately 20 million patients, and managing in excess of 180 million patient encounters. These figures, when taken together, describe an organization that occupies a significant and growing position within the healthcare data management and analytics landscape.</w:t>
      </w:r>
    </w:p>
    <w:p>
      <w:pPr>
        <w:pStyle w:val="Heading2"/>
        <w:spacing w:after="140" w:before="280"/>
      </w:pPr>
      <w:r>
        <w:rPr>
          <w:rFonts w:ascii="Arial" w:cs="Arial" w:eastAsia="Arial" w:hAnsi="Arial"/>
          <w:b/>
          <w:bCs/>
          <w:color w:val="2E75B6"/>
          <w:sz w:val="26"/>
          <w:szCs w:val="26"/>
        </w:rPr>
        <w:t xml:space="preserve">3.2 Reason for Selecting the Company</w:t>
      </w:r>
    </w:p>
    <w:p>
      <w:pPr>
        <w:spacing w:after="120" w:before="80" w:line="276"/>
        <w:jc w:val="both"/>
      </w:pPr>
      <w:r>
        <w:rPr>
          <w:rFonts w:ascii="Arial" w:cs="Arial" w:eastAsia="Arial" w:hAnsi="Arial"/>
          <w:b w:val="false"/>
          <w:bCs w:val="false"/>
          <w:i w:val="false"/>
          <w:iCs w:val="false"/>
          <w:color w:val="000000"/>
          <w:sz w:val="22"/>
          <w:szCs w:val="22"/>
        </w:rPr>
        <w:t xml:space="preserve">Persivia was selected as the focal point for this professional analysis because it occupies the intersection of several of the most rapidly evolving priorities in modern healthcare, including population health management, care coordination, risk adjustment, clinical interoperability, patient engagement, and public health surveillance. This breadth of operational domain makes it a uniquely rich subject for studying the intersection of technology strategy, corporate ethics, competitive positioning, and healthcare transformation.</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Furthermore, Persivia consistently frames itself as a 'single platform' vendor with artificial intelligence positioned at its core. The company reports recognition by Gartner across multiple distinct healthcare IT evaluation categories, including health data management, digital health, AI-enabled solutions, provider analytics, and population health. This combination of broad capability claims, verifiable institutional recognition, and operation within a highly regulated, ethically sensitive domain makes Persivia an exceptionally well-suited case study for exploring how academic concepts of data ethics, AI governance, and corporate responsibility manifest within a real-world operational context.</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Additionally, the accessibility of the company's Lahore office enabled our team to conduct an in-person semi-structured interview with management, providing primary qualitative data that significantly enriched the depth and authenticity of this analysis. Access to direct organizational insight, rather than solely public documentation, elevated this report beyond a theoretical desk review to a genuine professional field analysis.</w:t>
      </w:r>
    </w:p>
    <w:p>
      <w:pPr>
        <w:pStyle w:val="Heading2"/>
        <w:spacing w:after="140" w:before="280"/>
      </w:pPr>
      <w:r>
        <w:rPr>
          <w:rFonts w:ascii="Arial" w:cs="Arial" w:eastAsia="Arial" w:hAnsi="Arial"/>
          <w:b/>
          <w:bCs/>
          <w:color w:val="2E75B6"/>
          <w:sz w:val="26"/>
          <w:szCs w:val="26"/>
        </w:rPr>
        <w:t xml:space="preserve">3.3 Services and Solution Portfolio</w:t>
      </w:r>
    </w:p>
    <w:p>
      <w:pPr>
        <w:spacing w:after="120" w:before="80" w:line="276"/>
        <w:jc w:val="both"/>
      </w:pPr>
      <w:r>
        <w:rPr>
          <w:rFonts w:ascii="Arial" w:cs="Arial" w:eastAsia="Arial" w:hAnsi="Arial"/>
          <w:b w:val="false"/>
          <w:bCs w:val="false"/>
          <w:i w:val="false"/>
          <w:iCs w:val="false"/>
          <w:color w:val="000000"/>
          <w:sz w:val="22"/>
          <w:szCs w:val="22"/>
        </w:rPr>
        <w:t xml:space="preserve">Persivia's core commercial offering is the CareSpace® platform, which serves as an AI-driven, integrated digital health and population health management system. The platform is architected to provide healthcare organizations with a longitudinal, unified view of each patient, enabling seamless data integration from disparate clinical sources, robust predictive analytics capabilities, and actionable point-of-care insights that can be delivered directly into clinical workflows. The platform is designed to function as a comprehensive healthcare operating system rather than a narrow point solution, spanning multiple functional domains within the healthcare enterprise.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company's publicly documented solution areas are extensive and encompass the following primary domains:</w:t>
      </w:r>
    </w:p>
    <w:p>
      <w:pPr>
        <w:pStyle w:val="ListParagraph"/>
        <w:numPr>
          <w:ilvl w:val="0"/>
          <w:numId w:val="2"/>
        </w:numPr>
        <w:spacing w:after="80" w:before="40" w:line="276"/>
        <w:jc w:val="both"/>
      </w:pPr>
      <w:r>
        <w:rPr>
          <w:rFonts w:ascii="Arial" w:cs="Arial" w:eastAsia="Arial" w:hAnsi="Arial"/>
          <w:sz w:val="22"/>
          <w:szCs w:val="22"/>
        </w:rPr>
        <w:t xml:space="preserve">Data Aggregation and Health Data Platform: This foundational capability brings together structured, unstructured, clinical, claims, device, and social determinants of health data into a single unified, longitudinal patient record. The platform is designed to ingest data from heterogeneous healthcare sources, normalize it across varying standards, and present it in a coherent, actionable format for clinical and administrative users. This capability is critical because healthcare data has historically been fragmented across incompatible systems, including electronic health records, billing platforms, laboratory systems, pharmacy databases, and insurance claims, creating significant barriers to comprehensive patient understanding.</w:t>
      </w:r>
    </w:p>
    <w:p>
      <w:pPr>
        <w:pStyle w:val="ListParagraph"/>
        <w:numPr>
          <w:ilvl w:val="0"/>
          <w:numId w:val="2"/>
        </w:numPr>
        <w:spacing w:after="80" w:before="40" w:line="276"/>
        <w:jc w:val="both"/>
      </w:pPr>
      <w:r>
        <w:rPr>
          <w:rFonts w:ascii="Arial" w:cs="Arial" w:eastAsia="Arial" w:hAnsi="Arial"/>
          <w:sz w:val="22"/>
          <w:szCs w:val="22"/>
        </w:rPr>
        <w:t xml:space="preserve">Population Health Management: This solution domain supports organizations seeking to manage the health outcomes of defined patient populations rather than individual patients in isolation. Key capabilities include advanced analytics for identifying at-risk populations, value-based care program support, interactive patient engagement tools, structured care pathways, quality measurement dashboards, and risk stratification modules. This domain is particularly relevant to Accountable Care Organizations (ACOs) and health systems that have assumed financial risk for population-level outcomes under value-based contracts.</w:t>
      </w:r>
    </w:p>
    <w:p>
      <w:pPr>
        <w:pStyle w:val="ListParagraph"/>
        <w:numPr>
          <w:ilvl w:val="0"/>
          <w:numId w:val="2"/>
        </w:numPr>
        <w:spacing w:after="80" w:before="40" w:line="276"/>
        <w:jc w:val="both"/>
      </w:pPr>
      <w:r>
        <w:rPr>
          <w:rFonts w:ascii="Arial" w:cs="Arial" w:eastAsia="Arial" w:hAnsi="Arial"/>
          <w:sz w:val="22"/>
          <w:szCs w:val="22"/>
        </w:rPr>
        <w:t xml:space="preserve">Care Management: This functional area automates and streamlines the complex workflows associated with coordinating care for high-risk or chronically ill patients. Capabilities include algorithmic risk stratification, dynamic care planning, real-time clinical alerts, structured patient assessments, and automated clinical workflow support. By reducing the administrative burden on care managers and care coordinators, this suite allows clinical teams to focus their attention on the most complex and vulnerable patients.</w:t>
      </w:r>
    </w:p>
    <w:p>
      <w:pPr>
        <w:pStyle w:val="ListParagraph"/>
        <w:numPr>
          <w:ilvl w:val="0"/>
          <w:numId w:val="2"/>
        </w:numPr>
        <w:spacing w:after="80" w:before="40" w:line="276"/>
        <w:jc w:val="both"/>
      </w:pPr>
      <w:r>
        <w:rPr>
          <w:rFonts w:ascii="Arial" w:cs="Arial" w:eastAsia="Arial" w:hAnsi="Arial"/>
          <w:sz w:val="22"/>
          <w:szCs w:val="22"/>
        </w:rPr>
        <w:t xml:space="preserve">Risk Adjustment and Medicare Advantage: This specialized solution supports healthcare organizations in accurately capturing the health status complexity of their patient populations for purposes of risk-based reimbursement under Medicare Advantage and Hierarchical Condition Category (HCC) coding frameworks. Key features include HEDIS quality measurement, STAR ratings management, and point-of-care gap closure tools that alert clinicians when diagnostic codes supported by clinical evidence may be missing from the patient record.</w:t>
      </w:r>
    </w:p>
    <w:p>
      <w:pPr>
        <w:pStyle w:val="ListParagraph"/>
        <w:numPr>
          <w:ilvl w:val="0"/>
          <w:numId w:val="2"/>
        </w:numPr>
        <w:spacing w:after="80" w:before="40" w:line="276"/>
        <w:jc w:val="both"/>
      </w:pPr>
      <w:r>
        <w:rPr>
          <w:rFonts w:ascii="Arial" w:cs="Arial" w:eastAsia="Arial" w:hAnsi="Arial"/>
          <w:sz w:val="22"/>
          <w:szCs w:val="22"/>
        </w:rPr>
        <w:t xml:space="preserve">Patient Engagement: Recognizing that patient activation is a critical determinant of health outcomes, Persivia offers a suite of patient-facing engagement capabilities including patient portals, mobile health access, multi-channel communication tools, and integration with remote patient monitoring devices. These capabilities enable healthcare organizations to maintain meaningful contact with patients between clinical encounters, an increasingly important function in value-based care environments where preventive engagement is financially rewarded.</w:t>
      </w:r>
    </w:p>
    <w:p>
      <w:pPr>
        <w:pStyle w:val="ListParagraph"/>
        <w:numPr>
          <w:ilvl w:val="0"/>
          <w:numId w:val="2"/>
        </w:numPr>
        <w:spacing w:after="80" w:before="40" w:line="276"/>
        <w:jc w:val="both"/>
      </w:pPr>
      <w:r>
        <w:rPr>
          <w:rFonts w:ascii="Arial" w:cs="Arial" w:eastAsia="Arial" w:hAnsi="Arial"/>
          <w:sz w:val="22"/>
          <w:szCs w:val="22"/>
        </w:rPr>
        <w:t xml:space="preserve">Public Health Surveillance: This solution domain supports public health agencies in managing population-level health monitoring and disease surveillance activities. Capabilities include electronic laboratory reporting (ELR), case and outbreak management workflows, contact tracing modules, and intelligent laboratory surveillance tools operating under the SmartPHIN and SmartLab product frameworks. These capabilities became especially relevant during and following the COVID-19 pandemic, which dramatically accelerated the demand for digital public health infrastructure.</w:t>
      </w:r>
    </w:p>
    <w:p>
      <w:pPr>
        <w:pStyle w:val="ListParagraph"/>
        <w:numPr>
          <w:ilvl w:val="0"/>
          <w:numId w:val="2"/>
        </w:numPr>
        <w:spacing w:after="80" w:before="40" w:line="276"/>
        <w:jc w:val="both"/>
      </w:pPr>
      <w:r>
        <w:rPr>
          <w:rFonts w:ascii="Arial" w:cs="Arial" w:eastAsia="Arial" w:hAnsi="Arial"/>
          <w:sz w:val="22"/>
          <w:szCs w:val="22"/>
        </w:rPr>
        <w:t xml:space="preserve">Point-of-Care Workflow: The CareTrak® solution delivers real-time, actionable clinical insights directly within existing EHR workflows through bidirectional integration with major Electronic Health Records systems. This capability is designed to minimize workflow disruption by surfacing relevant patient information and risk alerts within the familiar clinical environments that healthcare professionals already use, rather than requiring separate system navigation.</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Persivia targets a diverse range of healthcare organizational types, including payers, providers, Accountable Care Organizations, employers, Medicare Advantage organizations, and public health departments. This breadth of target clientele demonstrates that the platform is architected to accommodate multiple distinct healthcare operating models, positioning Persivia as a versatile technology partner for a wide range of institutional partners.</w:t>
      </w:r>
    </w:p>
    <w:p>
      <w:pPr>
        <w:pStyle w:val="Heading2"/>
        <w:spacing w:after="140" w:before="280"/>
      </w:pPr>
      <w:r>
        <w:rPr>
          <w:rFonts w:ascii="Arial" w:cs="Arial" w:eastAsia="Arial" w:hAnsi="Arial"/>
          <w:b/>
          <w:bCs/>
          <w:color w:val="2E75B6"/>
          <w:sz w:val="26"/>
          <w:szCs w:val="26"/>
        </w:rPr>
        <w:t xml:space="preserve">3.4 Practical Organogram</w:t>
      </w:r>
    </w:p>
    <w:p>
      <w:pPr>
        <w:spacing w:after="120" w:before="80" w:line="276"/>
        <w:jc w:val="both"/>
      </w:pPr>
      <w:r>
        <w:rPr>
          <w:rFonts w:ascii="Arial" w:cs="Arial" w:eastAsia="Arial" w:hAnsi="Arial"/>
          <w:b w:val="false"/>
          <w:bCs w:val="false"/>
          <w:i w:val="false"/>
          <w:iCs w:val="false"/>
          <w:color w:val="000000"/>
          <w:sz w:val="22"/>
          <w:szCs w:val="22"/>
        </w:rPr>
        <w:t xml:space="preserve">While Persivia does not publish a formal internal organizational chart accessible to the public, a practical external organogram can be constructed with reasonable confidence based on the company's public leadership disclosures, product capability structure, and standard organizational patterns characteristic of healthcare IT companies at its scale and growth stage.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At the apex of the organizational hierarchy sits a Board of Directors and investor group, providing strategic direction and governance oversight. Reporting to the board are the Chief Executive Officer (Mansoor Khan, Sc.D.) and the Chief Medical Officer (Fauzia Khan, M.D.), whose dual executive leadership reflects the company's fundamental commitment to integrating both business strategy and clinical expertise at the highest organizational level. This is a common and important structural choice for healthcare IT companies, as the presence of physician leadership ensures that technology development remains grounded in the practical realities of clinical practice.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Beneath executive leadership, the following functional departments can be inferred based on the company's operational domains and publicly available information: Product Management and Platform Strategy, responsible for the product roadmap and feature prioritization of CareSpace® and related solutions; Engineering and Software Development, encompassing the technical teams in Lahore and the United States responsible for platform construction, maintenance, and quality assurance; Data Engineering, Artificial Intelligence, and Analytics, which houses the teams responsible for building and maintaining the AI models, risk stratification engines, and predictive analytics capabilities that differentiate the platform; Clinical Programs and Medical Informatics, which manages the clinical content, care pathways, quality measures, and evidence-based protocols embedded within the platform; Sales and Business Development, which drives client acquisition across the platform's diverse target markets; Customer Success, Implementation, and Hypercare, which supports clients through onboarding, configuration, and ongoing operational support; Marketing, Partnerships, and Market Education, which manages external communications, conference participation, and thought leadership content; Operations, Finance, Human Resources, and Administration, which handles the organizational infrastructure supporting the global workforce; and Compliance, Security, and Regulatory Affairs, which ensures adherence to HIPAA, HL7, and other applicable healthcare IT regulatory frameworks.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This inferred organizational structure aligns coherently with the nature of Persivia's platform business: operating an enterprise healthcare technology platform requires clearly delineated functional teams capable of handling the full lifecycle of product development, clinical content, regulatory compliance, client success, and security governance simultaneously.</w:t>
      </w:r>
    </w:p>
    <w:p>
      <w:r>
        <w:br/>
      </w:r>
    </w:p>
    <w:p>
      <w:pPr>
        <w:pStyle w:val="Heading1"/>
        <w:spacing w:after="200" w:before="360"/>
      </w:pPr>
      <w:r>
        <w:rPr>
          <w:rFonts w:ascii="Arial" w:cs="Arial" w:eastAsia="Arial" w:hAnsi="Arial"/>
          <w:b/>
          <w:bCs/>
          <w:color w:val="1F3864"/>
          <w:sz w:val="32"/>
          <w:szCs w:val="32"/>
        </w:rPr>
        <w:t xml:space="preserve">4. Competitor Analysis</w:t>
      </w:r>
    </w:p>
    <w:p>
      <w:pPr>
        <w:pBdr>
          <w:bottom w:val="single" w:color="2E75B6" w:sz="6" w:space="1"/>
        </w:pBdr>
        <w:spacing w:after="120" w:before="120"/>
      </w:pPr>
    </w:p>
    <w:p>
      <w:pPr>
        <w:pStyle w:val="Heading2"/>
        <w:spacing w:after="140" w:before="280"/>
      </w:pPr>
      <w:r>
        <w:rPr>
          <w:rFonts w:ascii="Arial" w:cs="Arial" w:eastAsia="Arial" w:hAnsi="Arial"/>
          <w:b/>
          <w:bCs/>
          <w:color w:val="2E75B6"/>
          <w:sz w:val="26"/>
          <w:szCs w:val="26"/>
        </w:rPr>
        <w:t xml:space="preserve">4.1 Main Competitors</w:t>
      </w:r>
    </w:p>
    <w:p>
      <w:pPr>
        <w:spacing w:after="120" w:before="80" w:line="276"/>
        <w:jc w:val="both"/>
      </w:pPr>
      <w:r>
        <w:rPr>
          <w:rFonts w:ascii="Arial" w:cs="Arial" w:eastAsia="Arial" w:hAnsi="Arial"/>
          <w:b w:val="false"/>
          <w:bCs w:val="false"/>
          <w:i w:val="false"/>
          <w:iCs w:val="false"/>
          <w:color w:val="000000"/>
          <w:sz w:val="22"/>
          <w:szCs w:val="22"/>
        </w:rPr>
        <w:t xml:space="preserve">Persivia operates within a highly competitive segment of the healthcare technology market, specifically in the domains of population health management, care management, value-based care enablement, and healthcare analytics. The competitive landscape in this space is populated by a mixture of large, well-established healthcare IT incumbents and emerging data-focused health-tech companies, each with distinct capabilities, client bases, and strategic positioning. Based on publicly available information including Persivia's own comparative marketing materials and third-party analyst platforms such as AVIA Marketplace, the following vendors represent the primary competitive set against which Persivia competes for contracts and market share.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major competitors identified include Innovaccer, Oracle Cerner (HealtheIntent), Epic (Care Everywhere), HealthEdge (GuidingCare), and athenahealth (athenaOne). Each of these vendors represents a different strategic archetype in the broader health IT ecosystem, and understanding the competitive nuances between them is essential for evaluating Persivia's market positioning and strategic differentiation.</w:t>
      </w:r>
    </w:p>
    <w:p>
      <w:pPr>
        <w:pStyle w:val="Heading2"/>
        <w:spacing w:after="140" w:before="280"/>
      </w:pPr>
      <w:r>
        <w:rPr>
          <w:rFonts w:ascii="Arial" w:cs="Arial" w:eastAsia="Arial" w:hAnsi="Arial"/>
          <w:b/>
          <w:bCs/>
          <w:color w:val="2E75B6"/>
          <w:sz w:val="26"/>
          <w:szCs w:val="26"/>
        </w:rPr>
        <w:t xml:space="preserve">4.2 Competitive Positioning</w:t>
      </w:r>
    </w:p>
    <w:p>
      <w:pPr>
        <w:spacing w:after="120" w:before="80" w:line="276"/>
        <w:jc w:val="both"/>
      </w:pPr>
      <w:r>
        <w:rPr>
          <w:rFonts w:ascii="Arial" w:cs="Arial" w:eastAsia="Arial" w:hAnsi="Arial"/>
          <w:b w:val="false"/>
          <w:bCs w:val="false"/>
          <w:i w:val="false"/>
          <w:iCs w:val="false"/>
          <w:color w:val="000000"/>
          <w:sz w:val="22"/>
          <w:szCs w:val="22"/>
        </w:rPr>
        <w:t xml:space="preserve">A rigorous evaluation of Persivia's competitive landscape requires more than a surface-level vendor list. Each competitor occupies a distinct strategic position, serves a defined buyer profile, and offers a different value proposition. The following analysis examines each major competitor in depth:</w:t>
      </w:r>
    </w:p>
    <w:p>
      <w:pPr>
        <w:spacing w:after="60" w:before="0"/>
      </w:pPr>
    </w:p>
    <w:p>
      <w:pPr>
        <w:pStyle w:val="Heading3"/>
        <w:spacing w:after="100" w:before="200"/>
      </w:pPr>
      <w:r>
        <w:rPr>
          <w:rFonts w:ascii="Arial" w:cs="Arial" w:eastAsia="Arial" w:hAnsi="Arial"/>
          <w:b/>
          <w:bCs/>
          <w:color w:val="595959"/>
          <w:sz w:val="23"/>
          <w:szCs w:val="23"/>
        </w:rPr>
        <w:t xml:space="preserve">Innovaccer</w:t>
      </w:r>
    </w:p>
    <w:p>
      <w:pPr>
        <w:spacing w:after="120" w:before="80" w:line="276"/>
        <w:jc w:val="both"/>
      </w:pPr>
      <w:r>
        <w:rPr>
          <w:rFonts w:ascii="Arial" w:cs="Arial" w:eastAsia="Arial" w:hAnsi="Arial"/>
          <w:b w:val="false"/>
          <w:bCs w:val="false"/>
          <w:i w:val="false"/>
          <w:iCs w:val="false"/>
          <w:color w:val="000000"/>
          <w:sz w:val="22"/>
          <w:szCs w:val="22"/>
        </w:rPr>
        <w:t xml:space="preserve">Innovaccer has emerged as one of the most direct strategic competitors to Persivia, particularly in the domain of data activation and population health analytics. AVIA Marketplace lists Innovaccer as a top alternative to Persivia for small and mid-sized health systems, indicating that both vendors frequently appear on the same shortlists during procurement processes. Innovaccer's core strength lies in its Data Activation Platform, which aggregates fragmented clinical data and converts it into actionable workflows for care teams. Its modern cloud-native architecture and strong focus on interoperability have made it attractive to health systems seeking rapid deployment with minimal legacy integration burdens. The primary differentiator for Persivia in this competitive matchup lies in the breadth of CareSpace's end-to-end clinical and operational workflow coverage, compared to Innovaccer's more focused analytics-first approach.</w:t>
      </w:r>
    </w:p>
    <w:p>
      <w:pPr>
        <w:spacing w:after="60" w:before="0"/>
      </w:pPr>
    </w:p>
    <w:p>
      <w:pPr>
        <w:pStyle w:val="Heading3"/>
        <w:spacing w:after="100" w:before="200"/>
      </w:pPr>
      <w:r>
        <w:rPr>
          <w:rFonts w:ascii="Arial" w:cs="Arial" w:eastAsia="Arial" w:hAnsi="Arial"/>
          <w:b/>
          <w:bCs/>
          <w:color w:val="595959"/>
          <w:sz w:val="23"/>
          <w:szCs w:val="23"/>
        </w:rPr>
        <w:t xml:space="preserve">Oracle Cerner HealtheIntent</w:t>
      </w:r>
    </w:p>
    <w:p>
      <w:pPr>
        <w:spacing w:after="120" w:before="80" w:line="276"/>
        <w:jc w:val="both"/>
      </w:pPr>
      <w:r>
        <w:rPr>
          <w:rFonts w:ascii="Arial" w:cs="Arial" w:eastAsia="Arial" w:hAnsi="Arial"/>
          <w:b w:val="false"/>
          <w:bCs w:val="false"/>
          <w:i w:val="false"/>
          <w:iCs w:val="false"/>
          <w:color w:val="000000"/>
          <w:sz w:val="22"/>
          <w:szCs w:val="22"/>
        </w:rPr>
        <w:t xml:space="preserve">Persivia positions Oracle Cerner's HealtheIntent as a large-enterprise option designed for massive, multi-facility health systems with significant existing Cerner EHR investment. HealtheIntent is a longitudinal record platform built atop the broader Cerner ecosystem, offering population health analytics, risk identification, and care gap closure within the context of Oracle's enterprise-scale data architecture. In competitive scenarios where the buyer prioritizes enterprise-grade data security, Oracle's institutional credibility, and seamless integration with Cerner's existing EHR footprint, HealtheIntent presents a formidable alternative. Persivia's competitive advantage in this matchup is its greater agility, faster time-to-value, and ability to serve organizations that are not already embedded in Cerner's ecosystem. Additionally, since Oracle's acquisition of Cerner, organizational transition challenges have created competitive openings for more focused vendors like Persivia.</w:t>
      </w:r>
    </w:p>
    <w:p>
      <w:pPr>
        <w:spacing w:after="60" w:before="0"/>
      </w:pPr>
    </w:p>
    <w:p>
      <w:pPr>
        <w:pStyle w:val="Heading3"/>
        <w:spacing w:after="100" w:before="200"/>
      </w:pPr>
      <w:r>
        <w:rPr>
          <w:rFonts w:ascii="Arial" w:cs="Arial" w:eastAsia="Arial" w:hAnsi="Arial"/>
          <w:b/>
          <w:bCs/>
          <w:color w:val="595959"/>
          <w:sz w:val="23"/>
          <w:szCs w:val="23"/>
        </w:rPr>
        <w:t xml:space="preserve">Epic Care Everywhere</w:t>
      </w:r>
    </w:p>
    <w:p>
      <w:pPr>
        <w:spacing w:after="120" w:before="80" w:line="276"/>
        <w:jc w:val="both"/>
      </w:pPr>
      <w:r>
        <w:rPr>
          <w:rFonts w:ascii="Arial" w:cs="Arial" w:eastAsia="Arial" w:hAnsi="Arial"/>
          <w:b w:val="false"/>
          <w:bCs w:val="false"/>
          <w:i w:val="false"/>
          <w:iCs w:val="false"/>
          <w:color w:val="000000"/>
          <w:sz w:val="22"/>
          <w:szCs w:val="22"/>
        </w:rPr>
        <w:t xml:space="preserve">Epic represents one of the most dominant forces in the healthcare IT landscape, with a deeply entrenched presence in academic medical centers and large integrated health systems. Epic's Care Everywhere network is a highly effective interoperability mechanism that facilitates clinical data sharing across the vast Epic installed base, making it particularly powerful for organizations already committed to Epic's closed ecosystem. In competitive scenarios where the buyer is a large academic medical center or a health system deeply integrated into Epic's ecosystem, Persivia faces a significant structural disadvantage, as switching costs and interoperability incentives strongly favor remaining within Epic's orbit. However, for mid-market organizations, payers, ACOs, and public health departments that operate outside the Epic ecosystem, Persivia's platform-agnostic approach and multi-EHR integration capabilities represent a meaningful competitive advantage.</w:t>
      </w:r>
    </w:p>
    <w:p>
      <w:pPr>
        <w:spacing w:after="60" w:before="0"/>
      </w:pPr>
    </w:p>
    <w:p>
      <w:pPr>
        <w:pStyle w:val="Heading3"/>
        <w:spacing w:after="100" w:before="200"/>
      </w:pPr>
      <w:r>
        <w:rPr>
          <w:rFonts w:ascii="Arial" w:cs="Arial" w:eastAsia="Arial" w:hAnsi="Arial"/>
          <w:b/>
          <w:bCs/>
          <w:color w:val="595959"/>
          <w:sz w:val="23"/>
          <w:szCs w:val="23"/>
        </w:rPr>
        <w:t xml:space="preserve">HealthEdge GuidingCare</w:t>
      </w:r>
    </w:p>
    <w:p>
      <w:pPr>
        <w:spacing w:after="120" w:before="80" w:line="276"/>
        <w:jc w:val="both"/>
      </w:pPr>
      <w:r>
        <w:rPr>
          <w:rFonts w:ascii="Arial" w:cs="Arial" w:eastAsia="Arial" w:hAnsi="Arial"/>
          <w:b w:val="false"/>
          <w:bCs w:val="false"/>
          <w:i w:val="false"/>
          <w:iCs w:val="false"/>
          <w:color w:val="000000"/>
          <w:sz w:val="22"/>
          <w:szCs w:val="22"/>
        </w:rPr>
        <w:t xml:space="preserve">HealthEdge's GuidingCare platform is primarily oriented toward payer-side care management and utilization management workflows, making it a strong competitor in scenarios where the purchasing organization is an insurance company or managed care entity seeking automation for prior authorization, utilization review, and case management processes. Persivia's strongest competitive position relative to GuidingCare lies in its breadth of provider-facing analytics capabilities and its end-to-end value-based care enablement across both payer and provider contexts. In payer-only procurement scenarios, GuidingCare's depth of utilization management functionality may give it an advantage over Persivia's more balanced payer-provider approach.</w:t>
      </w:r>
    </w:p>
    <w:p>
      <w:pPr>
        <w:spacing w:after="60" w:before="0"/>
      </w:pPr>
    </w:p>
    <w:p>
      <w:pPr>
        <w:pStyle w:val="Heading3"/>
        <w:spacing w:after="100" w:before="200"/>
      </w:pPr>
      <w:r>
        <w:rPr>
          <w:rFonts w:ascii="Arial" w:cs="Arial" w:eastAsia="Arial" w:hAnsi="Arial"/>
          <w:b/>
          <w:bCs/>
          <w:color w:val="595959"/>
          <w:sz w:val="23"/>
          <w:szCs w:val="23"/>
        </w:rPr>
        <w:t xml:space="preserve">athenahealth athenaOne</w:t>
      </w:r>
    </w:p>
    <w:p>
      <w:pPr>
        <w:spacing w:after="120" w:before="80" w:line="276"/>
        <w:jc w:val="both"/>
      </w:pPr>
      <w:r>
        <w:rPr>
          <w:rFonts w:ascii="Arial" w:cs="Arial" w:eastAsia="Arial" w:hAnsi="Arial"/>
          <w:b w:val="false"/>
          <w:bCs w:val="false"/>
          <w:i w:val="false"/>
          <w:iCs w:val="false"/>
          <w:color w:val="000000"/>
          <w:sz w:val="22"/>
          <w:szCs w:val="22"/>
        </w:rPr>
        <w:t xml:space="preserve">athenahealth's athenaOne platform is a cloud-based care coordination and practice management solution that has established strong market penetration among ambulatory physician practices and community health organizations. Persivia's categorization of athenahealth as a care coordination competitor reflects the competitive overlap in patient engagement, quality reporting, and ambulatory clinical workflow capabilities. However, athenaOne's primary strength is in practice management and billing automation rather than population health analytics and risk adjustment, the domains where Persivia has invested most heavily. This distinction means that the competitive encounter between Persivia and athenahealth is most likely to occur in community health center and physician group procurement contexts where both vendors may be evaluated for care management and quality improvement capabilities.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In summary, Persivia's strongest competitive differentiation lies in its ability to deliver an all-in-one, AI-driven value-based care platform that encompasses data aggregation, risk adjustment, care management, population health analytics, patient engagement, and point-of-care clinical insights within a single integrated technology stack. Its primary competitive challenges stem from competing against vendors with larger brand recognition, deeper ecosystem lock-in, or greater depth of capability in one specific functional area. Understanding this competitive landscape was a critical component of selecting Persivia as our study subject, as it provided important context for evaluating the company's ethical choices, resource allocation priorities, and strategic governance decisions.</w:t>
      </w:r>
    </w:p>
    <w:p>
      <w:r>
        <w:br/>
      </w:r>
    </w:p>
    <w:p>
      <w:pPr>
        <w:pStyle w:val="Heading1"/>
        <w:spacing w:after="200" w:before="360"/>
      </w:pPr>
      <w:r>
        <w:rPr>
          <w:rFonts w:ascii="Arial" w:cs="Arial" w:eastAsia="Arial" w:hAnsi="Arial"/>
          <w:b/>
          <w:bCs/>
          <w:color w:val="1F3864"/>
          <w:sz w:val="32"/>
          <w:szCs w:val="32"/>
        </w:rPr>
        <w:t xml:space="preserve">5. SWOT Analysis</w:t>
      </w:r>
    </w:p>
    <w:p>
      <w:pPr>
        <w:pBdr>
          <w:bottom w:val="single" w:color="2E75B6" w:sz="6" w:space="1"/>
        </w:pBdr>
        <w:spacing w:after="120" w:before="120"/>
      </w:pPr>
    </w:p>
    <w:p>
      <w:pPr>
        <w:spacing w:after="120" w:before="80" w:line="276"/>
        <w:jc w:val="both"/>
      </w:pPr>
      <w:r>
        <w:rPr>
          <w:rFonts w:ascii="Arial" w:cs="Arial" w:eastAsia="Arial" w:hAnsi="Arial"/>
          <w:b w:val="false"/>
          <w:bCs w:val="false"/>
          <w:i w:val="false"/>
          <w:iCs w:val="false"/>
          <w:color w:val="000000"/>
          <w:sz w:val="22"/>
          <w:szCs w:val="22"/>
        </w:rPr>
        <w:t xml:space="preserve">The following SWOT analysis synthesizes our findings from the company analysis, competitive evaluation, website review, and primary interview data to provide a structured assessment of Persivia's internal capabilities and external market dynamics. Each dimension is examined through the lens of both strategic business positioning and ethical operational practice.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5C2A" w:val="clear"/>
            <w:tcMar>
              <w:top w:type="dxa" w:w="120"/>
              <w:left w:type="dxa" w:w="180"/>
              <w:bottom w:type="dxa" w:w="120"/>
              <w:right w:type="dxa" w:w="180"/>
            </w:tcMar>
          </w:tcPr>
          <w:p>
            <w:r>
              <w:rPr>
                <w:rFonts w:ascii="Arial" w:cs="Arial" w:eastAsia="Arial" w:hAnsi="Arial"/>
                <w:b/>
                <w:bCs/>
                <w:color w:val="FFFFFF"/>
                <w:sz w:val="24"/>
                <w:szCs w:val="24"/>
              </w:rPr>
              <w:t xml:space="preserve">Strengths</w:t>
            </w:r>
          </w:p>
          <w:p>
            <w:pPr>
              <w:spacing w:after="40" w:before="40"/>
            </w:pPr>
            <w:r>
              <w:rPr>
                <w:rFonts w:ascii="Arial" w:cs="Arial" w:eastAsia="Arial" w:hAnsi="Arial"/>
                <w:sz w:val="20"/>
                <w:szCs w:val="20"/>
              </w:rPr>
              <w:t xml:space="preserve">• Broad, integrated AI-driven platform spanning data, analytics, care management, and point-of-care workflows.</w:t>
            </w:r>
          </w:p>
          <w:p>
            <w:pPr>
              <w:spacing w:after="40" w:before="40"/>
            </w:pPr>
            <w:r>
              <w:rPr>
                <w:rFonts w:ascii="Arial" w:cs="Arial" w:eastAsia="Arial" w:hAnsi="Arial"/>
                <w:sz w:val="20"/>
                <w:szCs w:val="20"/>
              </w:rPr>
              <w:t xml:space="preserve">• Exceptional fit for value-based care, population health, Medicare Advantage, and public health surveillance use cases.</w:t>
            </w:r>
          </w:p>
          <w:p>
            <w:pPr>
              <w:spacing w:after="40" w:before="40"/>
            </w:pPr>
            <w:r>
              <w:rPr>
                <w:rFonts w:ascii="Arial" w:cs="Arial" w:eastAsia="Arial" w:hAnsi="Arial"/>
                <w:sz w:val="20"/>
                <w:szCs w:val="20"/>
              </w:rPr>
              <w:t xml:space="preserve">• Strong emphasis on features valued by modern healthcare markets: explainable AI, no-code configuration, rapid deployment, and time-to-value.</w:t>
            </w:r>
          </w:p>
          <w:p>
            <w:pPr>
              <w:spacing w:after="40" w:before="40"/>
            </w:pPr>
            <w:r>
              <w:rPr>
                <w:rFonts w:ascii="Arial" w:cs="Arial" w:eastAsia="Arial" w:hAnsi="Arial"/>
                <w:sz w:val="20"/>
                <w:szCs w:val="20"/>
              </w:rPr>
              <w:t xml:space="preserve">• Recognition by Gartner in multiple healthcare IT categories including AI-enabled solutions, provider analytics, and population health.</w:t>
            </w:r>
          </w:p>
          <w:p>
            <w:pPr>
              <w:spacing w:after="40" w:before="40"/>
            </w:pPr>
            <w:r>
              <w:rPr>
                <w:rFonts w:ascii="Arial" w:cs="Arial" w:eastAsia="Arial" w:hAnsi="Arial"/>
                <w:sz w:val="20"/>
                <w:szCs w:val="20"/>
              </w:rPr>
              <w:t xml:space="preserve">• Self-hosted infrastructure enhancing data security and regulatory control.</w:t>
            </w:r>
          </w:p>
        </w:tc>
        <w:tc>
          <w:tcPr>
            <w:tcW w:type="dxa" w:w="4680"/>
            <w:tcBorders>
              <w:top w:val="single" w:color="CCCCCC" w:sz="1"/>
              <w:left w:val="single" w:color="CCCCCC" w:sz="1"/>
              <w:bottom w:val="single" w:color="CCCCCC" w:sz="1"/>
              <w:right w:val="single" w:color="CCCCCC" w:sz="1"/>
            </w:tcBorders>
            <w:shd w:fill="7B1515" w:val="clear"/>
            <w:tcMar>
              <w:top w:type="dxa" w:w="120"/>
              <w:left w:type="dxa" w:w="180"/>
              <w:bottom w:type="dxa" w:w="120"/>
              <w:right w:type="dxa" w:w="180"/>
            </w:tcMar>
          </w:tcPr>
          <w:p>
            <w:r>
              <w:rPr>
                <w:rFonts w:ascii="Arial" w:cs="Arial" w:eastAsia="Arial" w:hAnsi="Arial"/>
                <w:b/>
                <w:bCs/>
                <w:color w:val="FFFFFF"/>
                <w:sz w:val="24"/>
                <w:szCs w:val="24"/>
              </w:rPr>
              <w:t xml:space="preserve">Weaknesses</w:t>
            </w:r>
          </w:p>
          <w:p>
            <w:pPr>
              <w:spacing w:after="40" w:before="40"/>
            </w:pPr>
            <w:r>
              <w:rPr>
                <w:rFonts w:ascii="Arial" w:cs="Arial" w:eastAsia="Arial" w:hAnsi="Arial"/>
                <w:sz w:val="20"/>
                <w:szCs w:val="20"/>
              </w:rPr>
              <w:t xml:space="preserve">• Narrower brand footprint compared to large healthcare ecosystem vendors, limiting visibility in competitive RFP processes.</w:t>
            </w:r>
          </w:p>
          <w:p>
            <w:pPr>
              <w:spacing w:after="40" w:before="40"/>
            </w:pPr>
            <w:r>
              <w:rPr>
                <w:rFonts w:ascii="Arial" w:cs="Arial" w:eastAsia="Arial" w:hAnsi="Arial"/>
                <w:sz w:val="20"/>
                <w:szCs w:val="20"/>
              </w:rPr>
              <w:t xml:space="preserve">• Excessively broad public messaging spanning multiple product categories, reducing buyer-category clarity.</w:t>
            </w:r>
          </w:p>
          <w:p>
            <w:pPr>
              <w:spacing w:after="40" w:before="40"/>
            </w:pPr>
            <w:r>
              <w:rPr>
                <w:rFonts w:ascii="Arial" w:cs="Arial" w:eastAsia="Arial" w:hAnsi="Arial"/>
                <w:sz w:val="20"/>
                <w:szCs w:val="20"/>
              </w:rPr>
              <w:t xml:space="preserve">• Absence of a dedicated cybersecurity or cyber resilience team despite operating in a high-risk healthcare data environment.</w:t>
            </w:r>
          </w:p>
          <w:p>
            <w:pPr>
              <w:spacing w:after="40" w:before="40"/>
            </w:pPr>
            <w:r>
              <w:rPr>
                <w:rFonts w:ascii="Arial" w:cs="Arial" w:eastAsia="Arial" w:hAnsi="Arial"/>
                <w:sz w:val="20"/>
                <w:szCs w:val="20"/>
              </w:rPr>
              <w:t xml:space="preserve">• Limited formal employee training in cyber ethics and responsible AI governance.</w:t>
            </w:r>
          </w:p>
          <w:p>
            <w:pPr>
              <w:spacing w:after="40" w:before="40"/>
            </w:pPr>
            <w:r>
              <w:rPr>
                <w:rFonts w:ascii="Arial" w:cs="Arial" w:eastAsia="Arial" w:hAnsi="Arial"/>
                <w:sz w:val="20"/>
                <w:szCs w:val="20"/>
              </w:rPr>
              <w:t xml:space="preserve">• Patient consent management fully delegated to client hospitals, reducing direct accountability visibility.</w:t>
            </w:r>
          </w:p>
        </w:tc>
      </w:tr>
      <w:tr>
        <w:tc>
          <w:tcPr>
            <w:tcW w:type="dxa" w:w="4680"/>
            <w:tcBorders>
              <w:top w:val="single" w:color="CCCCCC" w:sz="1"/>
              <w:left w:val="single" w:color="CCCCCC" w:sz="1"/>
              <w:bottom w:val="single" w:color="CCCCCC" w:sz="1"/>
              <w:right w:val="single" w:color="CCCCCC" w:sz="1"/>
            </w:tcBorders>
            <w:shd w:fill="1B4F72" w:val="clear"/>
            <w:tcMar>
              <w:top w:type="dxa" w:w="120"/>
              <w:left w:type="dxa" w:w="180"/>
              <w:bottom w:type="dxa" w:w="120"/>
              <w:right w:type="dxa" w:w="180"/>
            </w:tcMar>
          </w:tcPr>
          <w:p>
            <w:r>
              <w:rPr>
                <w:rFonts w:ascii="Arial" w:cs="Arial" w:eastAsia="Arial" w:hAnsi="Arial"/>
                <w:b/>
                <w:bCs/>
                <w:color w:val="FFFFFF"/>
                <w:sz w:val="24"/>
                <w:szCs w:val="24"/>
              </w:rPr>
              <w:t xml:space="preserve">Opportunities</w:t>
            </w:r>
          </w:p>
          <w:p>
            <w:pPr>
              <w:spacing w:after="40" w:before="40"/>
            </w:pPr>
            <w:r>
              <w:rPr>
                <w:rFonts w:ascii="Arial" w:cs="Arial" w:eastAsia="Arial" w:hAnsi="Arial"/>
                <w:sz w:val="20"/>
                <w:szCs w:val="20"/>
              </w:rPr>
              <w:t xml:space="preserve">• Accelerating shift toward value-based care and CMS-driven models creates significant demand for Persivia's core capabilities.</w:t>
            </w:r>
          </w:p>
          <w:p>
            <w:pPr>
              <w:spacing w:after="40" w:before="40"/>
            </w:pPr>
            <w:r>
              <w:rPr>
                <w:rFonts w:ascii="Arial" w:cs="Arial" w:eastAsia="Arial" w:hAnsi="Arial"/>
                <w:sz w:val="20"/>
                <w:szCs w:val="20"/>
              </w:rPr>
              <w:t xml:space="preserve">• Expanding public health infrastructure needs, particularly in lab surveillance and outbreak management, align with SmartLab and SmartPHIN product lines.</w:t>
            </w:r>
          </w:p>
          <w:p>
            <w:pPr>
              <w:spacing w:after="40" w:before="40"/>
            </w:pPr>
            <w:r>
              <w:rPr>
                <w:rFonts w:ascii="Arial" w:cs="Arial" w:eastAsia="Arial" w:hAnsi="Arial"/>
                <w:sz w:val="20"/>
                <w:szCs w:val="20"/>
              </w:rPr>
              <w:t xml:space="preserve">• Mid-market healthcare organizations seeking faster implementation timelines over legacy suites represent significant addressable growth.</w:t>
            </w:r>
          </w:p>
          <w:p>
            <w:pPr>
              <w:spacing w:after="40" w:before="40"/>
            </w:pPr>
            <w:r>
              <w:rPr>
                <w:rFonts w:ascii="Arial" w:cs="Arial" w:eastAsia="Arial" w:hAnsi="Arial"/>
                <w:sz w:val="20"/>
                <w:szCs w:val="20"/>
              </w:rPr>
              <w:t xml:space="preserve">• Increasing AI adoption in healthcare opens partnerships with health systems, ACOs, and payer organizations.</w:t>
            </w:r>
          </w:p>
          <w:p>
            <w:pPr>
              <w:spacing w:after="40" w:before="40"/>
            </w:pPr>
            <w:r>
              <w:rPr>
                <w:rFonts w:ascii="Arial" w:cs="Arial" w:eastAsia="Arial" w:hAnsi="Arial"/>
                <w:sz w:val="20"/>
                <w:szCs w:val="20"/>
              </w:rPr>
              <w:t xml:space="preserve">• Growing international healthcare IT markets, particularly in emerging economies.</w:t>
            </w:r>
          </w:p>
        </w:tc>
        <w:tc>
          <w:tcPr>
            <w:tcW w:type="dxa" w:w="4680"/>
            <w:tcBorders>
              <w:top w:val="single" w:color="CCCCCC" w:sz="1"/>
              <w:left w:val="single" w:color="CCCCCC" w:sz="1"/>
              <w:bottom w:val="single" w:color="CCCCCC" w:sz="1"/>
              <w:right w:val="single" w:color="CCCCCC" w:sz="1"/>
            </w:tcBorders>
            <w:shd w:fill="6E4B1B" w:val="clear"/>
            <w:tcMar>
              <w:top w:type="dxa" w:w="120"/>
              <w:left w:type="dxa" w:w="180"/>
              <w:bottom w:type="dxa" w:w="120"/>
              <w:right w:type="dxa" w:w="180"/>
            </w:tcMar>
          </w:tcPr>
          <w:p>
            <w:r>
              <w:rPr>
                <w:rFonts w:ascii="Arial" w:cs="Arial" w:eastAsia="Arial" w:hAnsi="Arial"/>
                <w:b/>
                <w:bCs/>
                <w:color w:val="FFFFFF"/>
                <w:sz w:val="24"/>
                <w:szCs w:val="24"/>
              </w:rPr>
              <w:t xml:space="preserve">Threats</w:t>
            </w:r>
          </w:p>
          <w:p>
            <w:pPr>
              <w:spacing w:after="40" w:before="40"/>
            </w:pPr>
            <w:r>
              <w:rPr>
                <w:rFonts w:ascii="Arial" w:cs="Arial" w:eastAsia="Arial" w:hAnsi="Arial"/>
                <w:sz w:val="20"/>
                <w:szCs w:val="20"/>
              </w:rPr>
              <w:t xml:space="preserve">• Intense competition from large, well-funded incumbents including Epic, Oracle Cerner, athenahealth, HealthEdge, and Innovaccer.</w:t>
            </w:r>
          </w:p>
          <w:p>
            <w:pPr>
              <w:spacing w:after="40" w:before="40"/>
            </w:pPr>
            <w:r>
              <w:rPr>
                <w:rFonts w:ascii="Arial" w:cs="Arial" w:eastAsia="Arial" w:hAnsi="Arial"/>
                <w:sz w:val="20"/>
                <w:szCs w:val="20"/>
              </w:rPr>
              <w:t xml:space="preserve">• Healthcare software procurement is complex, heavily regulated, and integration-intensive, elongating sales cycles considerably.</w:t>
            </w:r>
          </w:p>
          <w:p>
            <w:pPr>
              <w:spacing w:after="40" w:before="40"/>
            </w:pPr>
            <w:r>
              <w:rPr>
                <w:rFonts w:ascii="Arial" w:cs="Arial" w:eastAsia="Arial" w:hAnsi="Arial"/>
                <w:sz w:val="20"/>
                <w:szCs w:val="20"/>
              </w:rPr>
              <w:t xml:space="preserve">• Rapid policy changes in healthcare reimbursement models can shift product priorities, requiring expensive platform pivots.</w:t>
            </w:r>
          </w:p>
          <w:p>
            <w:pPr>
              <w:spacing w:after="40" w:before="40"/>
            </w:pPr>
            <w:r>
              <w:rPr>
                <w:rFonts w:ascii="Arial" w:cs="Arial" w:eastAsia="Arial" w:hAnsi="Arial"/>
                <w:sz w:val="20"/>
                <w:szCs w:val="20"/>
              </w:rPr>
              <w:t xml:space="preserve">• Escalating sophistication of cyberattacks targeting healthcare data infrastructure poses existential risk.</w:t>
            </w:r>
          </w:p>
          <w:p>
            <w:pPr>
              <w:spacing w:after="40" w:before="40"/>
            </w:pPr>
            <w:r>
              <w:rPr>
                <w:rFonts w:ascii="Arial" w:cs="Arial" w:eastAsia="Arial" w:hAnsi="Arial"/>
                <w:sz w:val="20"/>
                <w:szCs w:val="20"/>
              </w:rPr>
              <w:t xml:space="preserve">• Potential AI regulatory changes at federal or international levels could impose significant compliance burdens.</w:t>
            </w:r>
          </w:p>
        </w:tc>
      </w:tr>
    </w:tbl>
    <w:p>
      <w:pPr>
        <w:spacing w:after="180" w:before="0"/>
      </w:pPr>
    </w:p>
    <w:p>
      <w:pPr>
        <w:spacing w:after="120" w:before="80" w:line="276"/>
        <w:jc w:val="both"/>
      </w:pPr>
      <w:r>
        <w:rPr>
          <w:rFonts w:ascii="Arial" w:cs="Arial" w:eastAsia="Arial" w:hAnsi="Arial"/>
          <w:b w:val="false"/>
          <w:bCs w:val="false"/>
          <w:i w:val="false"/>
          <w:iCs w:val="false"/>
          <w:color w:val="000000"/>
          <w:sz w:val="22"/>
          <w:szCs w:val="22"/>
        </w:rPr>
        <w:t xml:space="preserve">The SWOT analysis collectively paints a picture of a company that is strategically well-positioned for the ongoing healthcare transformation toward value-based care, AI-driven analytics, and integrated population health management, while simultaneously facing meaningful operational, reputational, and cybersecurity risks that require urgent and proactive management. The absence of a dedicated cybersecurity team, in particular, represents a significant ethical and operational vulnerability that must be addressed as Persivia scales its platform and manages an ever-growing volume of sensitive patient data.</w:t>
      </w:r>
    </w:p>
    <w:p>
      <w:r>
        <w:br/>
      </w:r>
    </w:p>
    <w:p>
      <w:pPr>
        <w:pStyle w:val="Heading1"/>
        <w:spacing w:after="200" w:before="360"/>
      </w:pPr>
      <w:r>
        <w:rPr>
          <w:rFonts w:ascii="Arial" w:cs="Arial" w:eastAsia="Arial" w:hAnsi="Arial"/>
          <w:b/>
          <w:bCs/>
          <w:color w:val="1F3864"/>
          <w:sz w:val="32"/>
          <w:szCs w:val="32"/>
        </w:rPr>
        <w:t xml:space="preserve">6. Company Logo, Outlook, and Promotions</w:t>
      </w:r>
    </w:p>
    <w:p>
      <w:pPr>
        <w:pBdr>
          <w:bottom w:val="single" w:color="2E75B6" w:sz="6" w:space="1"/>
        </w:pBdr>
        <w:spacing w:after="120" w:before="120"/>
      </w:pPr>
    </w:p>
    <w:p>
      <w:pPr>
        <w:pStyle w:val="Heading2"/>
        <w:spacing w:after="140" w:before="280"/>
      </w:pPr>
      <w:r>
        <w:rPr>
          <w:rFonts w:ascii="Arial" w:cs="Arial" w:eastAsia="Arial" w:hAnsi="Arial"/>
          <w:b/>
          <w:bCs/>
          <w:color w:val="2E75B6"/>
          <w:sz w:val="26"/>
          <w:szCs w:val="26"/>
        </w:rPr>
        <w:t xml:space="preserve">6.1 Visual Outlook and Branding</w:t>
      </w:r>
    </w:p>
    <w:p>
      <w:pPr>
        <w:spacing w:after="120" w:before="80" w:line="276"/>
        <w:jc w:val="both"/>
      </w:pPr>
      <w:r>
        <w:rPr>
          <w:rFonts w:ascii="Arial" w:cs="Arial" w:eastAsia="Arial" w:hAnsi="Arial"/>
          <w:b w:val="false"/>
          <w:bCs w:val="false"/>
          <w:i w:val="false"/>
          <w:iCs w:val="false"/>
          <w:color w:val="000000"/>
          <w:sz w:val="22"/>
          <w:szCs w:val="22"/>
        </w:rPr>
        <w:t xml:space="preserve">Persivia maintains a modern and consistently professional healthcare technology branding identity. The company's logo adheres to a clean, corporate visual language, utilizing a blue-toned color palette that has been deliberately selected to communicate trust, reliability, security, and technological innovation, all attributes that are foundational requirements for establishing credibility with enterprise healthcare clients. This branding strategy aligns precisely with established best practices in the healthcare IT industry, where projecting institutional professionalism and building client confidence are prerequisites for successfully entering complex, high-stakes procurement processes.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visual identity reflects a thoughtful understanding of its target audience: healthcare executives, clinical informatics leaders, and population health strategists who evaluate technology vendors not only on functional capability but also on organizational maturity and trustworthiness. By maintaining consistent visual branding across its website, marketing materials, conference presence, and product interfaces, Persivia reinforces a coherent organizational narrative that positions it as a stable, enterprise-grade partner rather than an experimental startup.</w:t>
      </w:r>
    </w:p>
    <w:p>
      <w:pPr>
        <w:pStyle w:val="Heading2"/>
        <w:spacing w:after="140" w:before="280"/>
      </w:pPr>
      <w:r>
        <w:rPr>
          <w:rFonts w:ascii="Arial" w:cs="Arial" w:eastAsia="Arial" w:hAnsi="Arial"/>
          <w:b/>
          <w:bCs/>
          <w:color w:val="2E75B6"/>
          <w:sz w:val="26"/>
          <w:szCs w:val="26"/>
        </w:rPr>
        <w:t xml:space="preserve">6.2 Website Analysis</w:t>
      </w:r>
    </w:p>
    <w:p>
      <w:pPr>
        <w:spacing w:after="120" w:before="80" w:line="276"/>
        <w:jc w:val="both"/>
      </w:pPr>
      <w:r>
        <w:rPr>
          <w:rFonts w:ascii="Arial" w:cs="Arial" w:eastAsia="Arial" w:hAnsi="Arial"/>
          <w:b w:val="false"/>
          <w:bCs w:val="false"/>
          <w:i w:val="false"/>
          <w:iCs w:val="false"/>
          <w:color w:val="000000"/>
          <w:sz w:val="22"/>
          <w:szCs w:val="22"/>
        </w:rPr>
        <w:t xml:space="preserve">The official Persivia website presents the company as a sophisticated, enterprise-grade AI-driven healthcare analytics and population health management platform. A systematic analysis of the website's architecture, content strategy, and user experience design reveals several significant observations relevant to both its market positioning and its communication of ethical commitments.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website interface is minimalistic and deliberately enterprise-oriented, avoiding the consumer-facing design conventions common in general-purpose software products. The content architecture places heavy emphasis on artificial intelligence in healthcare, value-based care enablement, data analytics, and population health management, which are the four thematic pillars around which Persivia organizes its product narrative. Visually, the site makes extensive use of healthcare workflow graphics, analytics dashboard visualizations, and data-centric imagery to demonstrate technical capability and real-world deployment contexts.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website's navigation structure is highly structured, with clear categorical pathways directing prospective clients to specific solution domains including Products, Solutions, Public Health, Medicare Advantage, Risk Adjustment, and Care Management. This categorical clarity serves a strategic function: it allows highly sophisticated healthcare IT buyers, who typically approach vendor evaluation with very specific functional requirements, to quickly assess whether Persivia's capabilities align with their organizational needs.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From a communication strategy perspective, the website employs a consistently data-centric narrative style, emphasizing compliance, interoperability standards, and clinical outcomes over marketing hyperbole. This approach reflects a sophisticated understanding of B2B healthcare marketing, where technical credibility and regulatory awareness are far more persuasive to enterprise buyers than general promotional messaging. The site also features customer proof points, case study references, and analyst recognition claims that serve as important social proof mechanisms in an industry where peer validation carries significant purchasing influence.</w:t>
      </w:r>
    </w:p>
    <w:p>
      <w:pPr>
        <w:pStyle w:val="Heading2"/>
        <w:spacing w:after="140" w:before="280"/>
      </w:pPr>
      <w:r>
        <w:rPr>
          <w:rFonts w:ascii="Arial" w:cs="Arial" w:eastAsia="Arial" w:hAnsi="Arial"/>
          <w:b/>
          <w:bCs/>
          <w:color w:val="2E75B6"/>
          <w:sz w:val="26"/>
          <w:szCs w:val="26"/>
        </w:rPr>
        <w:t xml:space="preserve">6.3 Marketing Strategy</w:t>
      </w:r>
    </w:p>
    <w:p>
      <w:pPr>
        <w:spacing w:after="120" w:before="80" w:line="276"/>
        <w:jc w:val="both"/>
      </w:pPr>
      <w:r>
        <w:rPr>
          <w:rFonts w:ascii="Arial" w:cs="Arial" w:eastAsia="Arial" w:hAnsi="Arial"/>
          <w:b w:val="false"/>
          <w:bCs w:val="false"/>
          <w:i w:val="false"/>
          <w:iCs w:val="false"/>
          <w:color w:val="000000"/>
          <w:sz w:val="22"/>
          <w:szCs w:val="22"/>
        </w:rPr>
        <w:t xml:space="preserve">Persivia's promotional and marketing efforts are predominantly oriented toward business-to-business (B2B) channels, reflecting the nature of enterprise healthcare technology sales cycles and procurement dynamics. Rather than investing in consumer-facing advertising or broad digital marketing campaigns, the company focuses its marketing resources on channels that provide direct access to qualified healthcare IT decision-makers.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company's primary marketing vehicles include detailed case studies that document measurable clinical and operational outcomes achieved by existing clients, technical whitepapers that establish thought leadership in specific clinical domains, comprehensive product documentation pages that serve the information needs of technical evaluators, and active participation in prominent healthcare IT conferences including HIMSS, HLTH, and payer-provider forums where target buyers are concentrated.</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Persivia also maintains thought leadership content channels centered on the themes of AI in healthcare, value-based care economics, population health strategy, and regulatory compliance. This content marketing investment serves a dual function: it positions Persivia's leadership as credible subject matter experts, and it attracts organic search traffic from healthcare IT professionals researching solutions to the specific problems that CareSpace® is designed to address.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Notably, Persivia's marketing strategy entirely bypasses consumer-oriented marketing channels, including social media advertising, influencer partnerships, and general brand awareness campaigns. This focus is consistent with the realities of enterprise healthcare sales, where purchasing decisions are made by highly informed institutional buyers following extended evaluation processes, contexts in which depth of technical credibility far outweighs breadth of general brand awareness.</w:t>
      </w:r>
    </w:p>
    <w:p>
      <w:r>
        <w:br/>
      </w:r>
    </w:p>
    <w:p>
      <w:pPr>
        <w:pStyle w:val="Heading1"/>
        <w:spacing w:after="200" w:before="360"/>
      </w:pPr>
      <w:r>
        <w:rPr>
          <w:rFonts w:ascii="Arial" w:cs="Arial" w:eastAsia="Arial" w:hAnsi="Arial"/>
          <w:b/>
          <w:bCs/>
          <w:color w:val="1F3864"/>
          <w:sz w:val="32"/>
          <w:szCs w:val="32"/>
        </w:rPr>
        <w:t xml:space="preserve">7. Topic Selection: Data Ethics and Healthcare</w:t>
      </w:r>
    </w:p>
    <w:p>
      <w:pPr>
        <w:pBdr>
          <w:bottom w:val="single" w:color="2E75B6" w:sz="6" w:space="1"/>
        </w:pBdr>
        <w:spacing w:after="120" w:before="120"/>
      </w:pPr>
    </w:p>
    <w:p>
      <w:pPr>
        <w:pStyle w:val="Heading2"/>
        <w:spacing w:after="140" w:before="280"/>
      </w:pPr>
      <w:r>
        <w:rPr>
          <w:rFonts w:ascii="Arial" w:cs="Arial" w:eastAsia="Arial" w:hAnsi="Arial"/>
          <w:b/>
          <w:bCs/>
          <w:color w:val="2E75B6"/>
          <w:sz w:val="26"/>
          <w:szCs w:val="26"/>
        </w:rPr>
        <w:t xml:space="preserve">7.1 Selected Topic Overview</w:t>
      </w:r>
    </w:p>
    <w:p>
      <w:pPr>
        <w:spacing w:after="120" w:before="80" w:line="276"/>
        <w:jc w:val="both"/>
      </w:pPr>
      <w:r>
        <w:rPr>
          <w:rFonts w:ascii="Arial" w:cs="Arial" w:eastAsia="Arial" w:hAnsi="Arial"/>
          <w:b w:val="false"/>
          <w:bCs w:val="false"/>
          <w:i w:val="false"/>
          <w:iCs w:val="false"/>
          <w:color w:val="000000"/>
          <w:sz w:val="22"/>
          <w:szCs w:val="22"/>
        </w:rPr>
        <w:t xml:space="preserve">Following a thorough preliminary analysis of Persivia's organizational profile, service portfolio, and competitive positioning, our group selected 'Data Ethics and Healthcare' as the focal topic for our professional interview and in-depth investigation. This topic was chosen because it sits at the precise intersection of Persivia's core business activities and the most pressing ethical challenges confronting the modern healthcare technology industry.</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Data ethics in healthcare encompasses a broad and multidisciplinary domain of inquiry, spanning patient privacy and consent, algorithmic bias and fairness in AI-driven clinical decision support, data ownership and governance frameworks, cybersecurity obligations in relation to sensitive health information, transparency and explainability requirements for AI systems used in clinical contexts, and the accountability structures that govern how technology companies manage the profound responsibilities inherent in handling the most sensitive category of personal information: an individual's health data.</w:t>
      </w:r>
    </w:p>
    <w:p>
      <w:pPr>
        <w:pStyle w:val="Heading2"/>
        <w:spacing w:after="140" w:before="280"/>
      </w:pPr>
      <w:r>
        <w:rPr>
          <w:rFonts w:ascii="Arial" w:cs="Arial" w:eastAsia="Arial" w:hAnsi="Arial"/>
          <w:b/>
          <w:bCs/>
          <w:color w:val="2E75B6"/>
          <w:sz w:val="26"/>
          <w:szCs w:val="26"/>
        </w:rPr>
        <w:t xml:space="preserve">7.2 Relevance and Importance</w:t>
      </w:r>
    </w:p>
    <w:p>
      <w:pPr>
        <w:spacing w:after="120" w:before="80" w:line="276"/>
        <w:jc w:val="both"/>
      </w:pPr>
      <w:r>
        <w:rPr>
          <w:rFonts w:ascii="Arial" w:cs="Arial" w:eastAsia="Arial" w:hAnsi="Arial"/>
          <w:b w:val="false"/>
          <w:bCs w:val="false"/>
          <w:i w:val="false"/>
          <w:iCs w:val="false"/>
          <w:color w:val="000000"/>
          <w:sz w:val="22"/>
          <w:szCs w:val="22"/>
        </w:rPr>
        <w:t xml:space="preserve">The decision to focus on data ethics in healthcare was not arbitrary; it was driven by a recognition that this topic represents one of the most consequential challenges in the entire landscape of modern technology. Healthcare data is among the most sensitive, personal, and consequential information that can exist in digital form. It encompasses details about a person's physical and mental health conditions, their genetic predispositions, their medication histories, their interactions with the healthcare system over a lifetime, and, increasingly, predictions about their future health trajectories generated by AI systems. The misuse, mismanagement, or inadequate protection of this information carries potentially severe consequences for individuals, including discrimination, loss of insurance, violation of privacy, and erosion of trust in the healthcare system itself.</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ethical stakes are further amplified by the specific operational context in which Persivia operates. As a platform that processes data from millions of patients across hundreds of healthcare organizations, the company occupies a position of profound informational trust. Unlike individual clinicians who interact with patients one at a time, a healthcare analytics platform operates at population scale, meaning that any systematic failure of data protection, algorithmic fairness, or ethical governance can simultaneously affect tens of thousands or millions of individuals.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Several specific dimensions of the data ethics challenge in healthcare merit particular attention in the context of Persivia's operations:</w:t>
      </w:r>
    </w:p>
    <w:p>
      <w:pPr>
        <w:spacing w:after="60" w:before="0"/>
      </w:pPr>
    </w:p>
    <w:p>
      <w:pPr>
        <w:pStyle w:val="Heading3"/>
        <w:spacing w:after="100" w:before="200"/>
      </w:pPr>
      <w:r>
        <w:rPr>
          <w:rFonts w:ascii="Arial" w:cs="Arial" w:eastAsia="Arial" w:hAnsi="Arial"/>
          <w:b/>
          <w:bCs/>
          <w:color w:val="595959"/>
          <w:sz w:val="23"/>
          <w:szCs w:val="23"/>
        </w:rPr>
        <w:t xml:space="preserve">Patient Privacy and Data Security</w:t>
      </w:r>
    </w:p>
    <w:p>
      <w:pPr>
        <w:spacing w:after="120" w:before="80" w:line="276"/>
        <w:jc w:val="both"/>
      </w:pPr>
      <w:r>
        <w:rPr>
          <w:rFonts w:ascii="Arial" w:cs="Arial" w:eastAsia="Arial" w:hAnsi="Arial"/>
          <w:b w:val="false"/>
          <w:bCs w:val="false"/>
          <w:i w:val="false"/>
          <w:iCs w:val="false"/>
          <w:color w:val="000000"/>
          <w:sz w:val="22"/>
          <w:szCs w:val="22"/>
        </w:rPr>
        <w:t xml:space="preserve">The Health Insurance Portability and Accountability Act (HIPAA) establishes the foundational federal framework for protecting patient health information in the United States. However, HIPAA represents a minimum legal standard rather than a comprehensive ethical framework. Companies that merely comply with HIPAA's technical requirements may still engage in data practices that patients would consider ethically problematic, such as using aggregated health data for commercial purposes beyond the scope of what patients reasonably anticipated when their information was collected. The ethical obligation extends beyond legal compliance to encompass a genuine commitment to stewarding patient information with the highest possible degree of care, transparency, and respect.</w:t>
      </w:r>
    </w:p>
    <w:p>
      <w:pPr>
        <w:spacing w:after="60" w:before="0"/>
      </w:pPr>
    </w:p>
    <w:p>
      <w:pPr>
        <w:pStyle w:val="Heading3"/>
        <w:spacing w:after="100" w:before="200"/>
      </w:pPr>
      <w:r>
        <w:rPr>
          <w:rFonts w:ascii="Arial" w:cs="Arial" w:eastAsia="Arial" w:hAnsi="Arial"/>
          <w:b/>
          <w:bCs/>
          <w:color w:val="595959"/>
          <w:sz w:val="23"/>
          <w:szCs w:val="23"/>
        </w:rPr>
        <w:t xml:space="preserve">Algorithmic Bias and Clinical Fairness</w:t>
      </w:r>
    </w:p>
    <w:p>
      <w:pPr>
        <w:spacing w:after="120" w:before="80" w:line="276"/>
        <w:jc w:val="both"/>
      </w:pPr>
      <w:r>
        <w:rPr>
          <w:rFonts w:ascii="Arial" w:cs="Arial" w:eastAsia="Arial" w:hAnsi="Arial"/>
          <w:b w:val="false"/>
          <w:bCs w:val="false"/>
          <w:i w:val="false"/>
          <w:iCs w:val="false"/>
          <w:color w:val="000000"/>
          <w:sz w:val="22"/>
          <w:szCs w:val="22"/>
        </w:rPr>
        <w:t xml:space="preserve">AI systems trained on historical healthcare data are vulnerable to reproducing and amplifying the biases present in that data. Because healthcare delivery in the United States has historically been characterized by significant disparities along racial, ethnic, socioeconomic, and geographic dimensions, AI models trained on historical patient data may learn to produce different, and potentially less favorable, predictions and recommendations for historically underserved populations. In a clinical context, this risk is not merely a statistical abstraction: it has the potential to translate into real-world differential treatment of vulnerable patients, perpetuating the very disparities that value-based care models are ostensibly designed to reduce.</w:t>
      </w:r>
    </w:p>
    <w:p>
      <w:pPr>
        <w:spacing w:after="60" w:before="0"/>
      </w:pPr>
    </w:p>
    <w:p>
      <w:pPr>
        <w:pStyle w:val="Heading3"/>
        <w:spacing w:after="100" w:before="200"/>
      </w:pPr>
      <w:r>
        <w:rPr>
          <w:rFonts w:ascii="Arial" w:cs="Arial" w:eastAsia="Arial" w:hAnsi="Arial"/>
          <w:b/>
          <w:bCs/>
          <w:color w:val="595959"/>
          <w:sz w:val="23"/>
          <w:szCs w:val="23"/>
        </w:rPr>
        <w:t xml:space="preserve">AI Transparency and Explainability</w:t>
      </w:r>
    </w:p>
    <w:p>
      <w:pPr>
        <w:spacing w:after="120" w:before="80" w:line="276"/>
        <w:jc w:val="both"/>
      </w:pPr>
      <w:r>
        <w:rPr>
          <w:rFonts w:ascii="Arial" w:cs="Arial" w:eastAsia="Arial" w:hAnsi="Arial"/>
          <w:b w:val="false"/>
          <w:bCs w:val="false"/>
          <w:i w:val="false"/>
          <w:iCs w:val="false"/>
          <w:color w:val="000000"/>
          <w:sz w:val="22"/>
          <w:szCs w:val="22"/>
        </w:rPr>
        <w:t xml:space="preserve">A fundamental tension in the application of AI to clinical decision support is the trade-off between model accuracy and model interpretability. Highly complex machine learning models, such as deep neural networks, are capable of producing remarkably accurate predictions but are often characterized as 'black boxes' whose internal reasoning processes are opaque even to their designers. In a clinical context, this opacity is ethically problematic: healthcare professionals bear a professional and ethical obligation to understand the basis for their clinical decisions, and they cannot fulfill this obligation if they are asked to act on AI recommendations whose reasoning they cannot interrogate or verify.</w:t>
      </w:r>
    </w:p>
    <w:p>
      <w:pPr>
        <w:spacing w:after="60" w:before="0"/>
      </w:pPr>
    </w:p>
    <w:p>
      <w:pPr>
        <w:pStyle w:val="Heading3"/>
        <w:spacing w:after="100" w:before="200"/>
      </w:pPr>
      <w:r>
        <w:rPr>
          <w:rFonts w:ascii="Arial" w:cs="Arial" w:eastAsia="Arial" w:hAnsi="Arial"/>
          <w:b/>
          <w:bCs/>
          <w:color w:val="595959"/>
          <w:sz w:val="23"/>
          <w:szCs w:val="23"/>
        </w:rPr>
        <w:t xml:space="preserve">Consent and Data Governance</w:t>
      </w:r>
    </w:p>
    <w:p>
      <w:pPr>
        <w:spacing w:after="120" w:before="80" w:line="276"/>
        <w:jc w:val="both"/>
      </w:pPr>
      <w:r>
        <w:rPr>
          <w:rFonts w:ascii="Arial" w:cs="Arial" w:eastAsia="Arial" w:hAnsi="Arial"/>
          <w:b w:val="false"/>
          <w:bCs w:val="false"/>
          <w:i w:val="false"/>
          <w:iCs w:val="false"/>
          <w:color w:val="000000"/>
          <w:sz w:val="22"/>
          <w:szCs w:val="22"/>
        </w:rPr>
        <w:t xml:space="preserve">Questions of patient consent and data governance become significantly more complex when patient health data is processed not by the originating healthcare provider but by a third-party technology platform. In Persivia's operational model, hospitals and healthcare organizations collect patient consent and then provide access to patient data to Persivia for the purposes of analytics and care management. This arrangement raises important ethical questions about the adequacy of existing consent frameworks, whether patients are provided with meaningful transparency about how their data is used by technology partners, and who bears ultimate ethical accountability when data practices fall short of patient expectations.</w:t>
      </w:r>
    </w:p>
    <w:p>
      <w:r>
        <w:br/>
      </w:r>
    </w:p>
    <w:p>
      <w:pPr>
        <w:pStyle w:val="Heading1"/>
        <w:spacing w:after="200" w:before="360"/>
      </w:pPr>
      <w:r>
        <w:rPr>
          <w:rFonts w:ascii="Arial" w:cs="Arial" w:eastAsia="Arial" w:hAnsi="Arial"/>
          <w:b/>
          <w:bCs/>
          <w:color w:val="1F3864"/>
          <w:sz w:val="32"/>
          <w:szCs w:val="32"/>
        </w:rPr>
        <w:t xml:space="preserve">8. Interview Guide and Protocol</w:t>
      </w:r>
    </w:p>
    <w:p>
      <w:pPr>
        <w:pBdr>
          <w:bottom w:val="single" w:color="2E75B6" w:sz="6" w:space="1"/>
        </w:pBdr>
        <w:spacing w:after="120" w:before="120"/>
      </w:pPr>
    </w:p>
    <w:p>
      <w:pPr>
        <w:pStyle w:val="Heading2"/>
        <w:spacing w:after="140" w:before="280"/>
      </w:pPr>
      <w:r>
        <w:rPr>
          <w:rFonts w:ascii="Arial" w:cs="Arial" w:eastAsia="Arial" w:hAnsi="Arial"/>
          <w:b/>
          <w:bCs/>
          <w:color w:val="2E75B6"/>
          <w:sz w:val="26"/>
          <w:szCs w:val="26"/>
        </w:rPr>
        <w:t xml:space="preserve">8.1 Interview Methodology</w:t>
      </w:r>
    </w:p>
    <w:p>
      <w:pPr>
        <w:spacing w:after="120" w:before="80" w:line="276"/>
        <w:jc w:val="both"/>
      </w:pPr>
      <w:r>
        <w:rPr>
          <w:rFonts w:ascii="Arial" w:cs="Arial" w:eastAsia="Arial" w:hAnsi="Arial"/>
          <w:b w:val="false"/>
          <w:bCs w:val="false"/>
          <w:i w:val="false"/>
          <w:iCs w:val="false"/>
          <w:color w:val="000000"/>
          <w:sz w:val="22"/>
          <w:szCs w:val="22"/>
        </w:rPr>
        <w:t xml:space="preserve">To investigate the selected topic of data ethics in healthcare, our team employed a semi-structured professional interview methodology. This approach was deliberately chosen because it provides the optimal balance between structured inquiry and exploratory dialogue: a predefined set of specific, targeted questions ensures comprehensive coverage of our key thematic areas, while the semi-structured format allows the conversation to expand organically into areas of particular depth or significance as they emerge. This methodology is particularly well-suited for exploring complex organizational ethics topics, where the most valuable insights often arise from follow-up discussion rather than direct responses to predetermined questions.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interview was conducted at Persivia's Lahore office location with members of the company's management and technical leadership teams. Our preparation for the interview involved extensive preliminary research into healthcare data ethics frameworks, HIPAA compliance requirements, AI governance best practices, and Persivia's publicly disclosed organizational practices. This preparation allowed our team to ask technically informed and contextually grounded questions rather than generic inquiries, resulting in a more substantive and revealing dialogue.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interview was characterized by cross-departmental ethical questioning, a focused engagement with healthcare IT engineering practices, and a balanced exploration of technical ethics, AI governance, corporate accountability, data security protocols, employee responsibility frameworks, and regulatory compliance mechanisms. The conversation was guided by the principle that understanding an organization's ethical posture requires examining not only its formal policies and stated commitments but also its practical operational realities, resource allocation decisions, and the degree to which ethical values are embedded in day-to-day organizational culture.</w:t>
      </w:r>
    </w:p>
    <w:p>
      <w:pPr>
        <w:pStyle w:val="Heading2"/>
        <w:spacing w:after="140" w:before="280"/>
      </w:pPr>
      <w:r>
        <w:rPr>
          <w:rFonts w:ascii="Arial" w:cs="Arial" w:eastAsia="Arial" w:hAnsi="Arial"/>
          <w:b/>
          <w:bCs/>
          <w:color w:val="2E75B6"/>
          <w:sz w:val="26"/>
          <w:szCs w:val="26"/>
        </w:rPr>
        <w:t xml:space="preserve">8.2 Interview Objectives</w:t>
      </w:r>
    </w:p>
    <w:p>
      <w:pPr>
        <w:spacing w:after="120" w:before="80" w:line="276"/>
        <w:jc w:val="both"/>
      </w:pPr>
      <w:r>
        <w:rPr>
          <w:rFonts w:ascii="Arial" w:cs="Arial" w:eastAsia="Arial" w:hAnsi="Arial"/>
          <w:b w:val="false"/>
          <w:bCs w:val="false"/>
          <w:i w:val="false"/>
          <w:iCs w:val="false"/>
          <w:color w:val="000000"/>
          <w:sz w:val="22"/>
          <w:szCs w:val="22"/>
        </w:rPr>
        <w:t xml:space="preserve">The primary objectives guiding the design and conduct of the interview were as follows: to critically analyze the ethical frameworks governing Persivia's handling of sensitive patient health data; to explore the company's AI governance practices, including its approach to model transparency, fairness monitoring, and human oversight; to review internal organizational ethics structures, including employee training, reporting mechanisms, and ethical decision-making processes; to examine active security protocols and assess their adequacy relative to the threat landscape facing healthcare data infrastructure; to understand the distribution of responsibility for patient consent and data governance between Persivia and its client institutions; and to assess the company's adherence to applicable regulatory compliance frameworks and its approach to evolving regulatory requirements.</w:t>
      </w:r>
    </w:p>
    <w:p>
      <w:pPr>
        <w:pStyle w:val="Heading2"/>
        <w:spacing w:after="140" w:before="280"/>
      </w:pPr>
      <w:r>
        <w:rPr>
          <w:rFonts w:ascii="Arial" w:cs="Arial" w:eastAsia="Arial" w:hAnsi="Arial"/>
          <w:b/>
          <w:bCs/>
          <w:color w:val="2E75B6"/>
          <w:sz w:val="26"/>
          <w:szCs w:val="26"/>
        </w:rPr>
        <w:t xml:space="preserve">8.3 Structured Interview Q&amp;A</w:t>
      </w:r>
    </w:p>
    <w:p>
      <w:pPr>
        <w:spacing w:after="120" w:before="80" w:line="276"/>
        <w:jc w:val="both"/>
      </w:pPr>
      <w:r>
        <w:rPr>
          <w:rFonts w:ascii="Arial" w:cs="Arial" w:eastAsia="Arial" w:hAnsi="Arial"/>
          <w:b w:val="false"/>
          <w:bCs w:val="false"/>
          <w:i w:val="false"/>
          <w:iCs w:val="false"/>
          <w:color w:val="000000"/>
          <w:sz w:val="22"/>
          <w:szCs w:val="22"/>
        </w:rPr>
        <w:t xml:space="preserve">The following fifteen questions were posed to management during the interview. The responses, synthesized and contextualized here, yield critical insights into the company's approach to ethical data management and AI governance:</w:t>
      </w:r>
    </w:p>
    <w:p>
      <w:pPr>
        <w:spacing w:after="80" w:before="0"/>
      </w:pPr>
    </w:p>
    <w:p>
      <w:pPr>
        <w:spacing w:after="60" w:before="140" w:line="276"/>
        <w:jc w:val="both"/>
      </w:pPr>
      <w:r>
        <w:rPr>
          <w:rFonts w:ascii="Arial" w:cs="Arial" w:eastAsia="Arial" w:hAnsi="Arial"/>
          <w:b/>
          <w:bCs/>
          <w:color w:val="1F3864"/>
          <w:sz w:val="22"/>
          <w:szCs w:val="22"/>
        </w:rPr>
        <w:t xml:space="preserve">Q1. What does Persivia consider its primary ethical responsibility toward the patients whose data it processes?</w:t>
      </w:r>
    </w:p>
    <w:p>
      <w:pPr>
        <w:spacing w:after="100" w:before="60" w:line="276"/>
        <w:jc w:val="both"/>
      </w:pPr>
      <w:r>
        <w:rPr>
          <w:rFonts w:ascii="Arial" w:cs="Arial" w:eastAsia="Arial" w:hAnsi="Arial"/>
          <w:sz w:val="22"/>
          <w:szCs w:val="22"/>
        </w:rPr>
        <w:t xml:space="preserve">Management articulated that Persivia considers the rigorous protection of patient data and the active improvement of measurable healthcare outcomes as its central ethical responsibilities. The company frames its mission not merely as a technology service provider but as an organization whose work directly affects clinical decisions and patient wellbeing. This framing is significant because it positions data ethics not as a compliance obligation but as a core organizational value.</w:t>
      </w:r>
    </w:p>
    <w:p>
      <w:pPr>
        <w:spacing w:after="60" w:before="140" w:line="276"/>
        <w:jc w:val="both"/>
      </w:pPr>
      <w:r>
        <w:rPr>
          <w:rFonts w:ascii="Arial" w:cs="Arial" w:eastAsia="Arial" w:hAnsi="Arial"/>
          <w:b/>
          <w:bCs/>
          <w:color w:val="1F3864"/>
          <w:sz w:val="22"/>
          <w:szCs w:val="22"/>
        </w:rPr>
        <w:t xml:space="preserve">Q2. How does Persivia approach data privacy and aggregation across its platform?</w:t>
      </w:r>
    </w:p>
    <w:p>
      <w:pPr>
        <w:spacing w:after="100" w:before="60" w:line="276"/>
        <w:jc w:val="both"/>
      </w:pPr>
      <w:r>
        <w:rPr>
          <w:rFonts w:ascii="Arial" w:cs="Arial" w:eastAsia="Arial" w:hAnsi="Arial"/>
          <w:sz w:val="22"/>
          <w:szCs w:val="22"/>
        </w:rPr>
        <w:t xml:space="preserve">The company employs a multi-layered data governance approach, including strict data segregation between client datasets, role-based authentication that limits data access to only those employees whose job functions require it, restricted access protocols that prevent broad internal data visibility, and full adherence to HIPAA and HL7 interoperability standards. These measures collectively establish a controlled data environment designed to minimize unnecessary exposure of sensitive patient information.</w:t>
      </w:r>
    </w:p>
    <w:p>
      <w:pPr>
        <w:spacing w:after="60" w:before="140" w:line="276"/>
        <w:jc w:val="both"/>
      </w:pPr>
      <w:r>
        <w:rPr>
          <w:rFonts w:ascii="Arial" w:cs="Arial" w:eastAsia="Arial" w:hAnsi="Arial"/>
          <w:b/>
          <w:bCs/>
          <w:color w:val="1F3864"/>
          <w:sz w:val="22"/>
          <w:szCs w:val="22"/>
        </w:rPr>
        <w:t xml:space="preserve">Q3. How does the company balance cost reduction objectives with patient care quality priorities?</w:t>
      </w:r>
    </w:p>
    <w:p>
      <w:pPr>
        <w:spacing w:after="100" w:before="60" w:line="276"/>
        <w:jc w:val="both"/>
      </w:pPr>
      <w:r>
        <w:rPr>
          <w:rFonts w:ascii="Arial" w:cs="Arial" w:eastAsia="Arial" w:hAnsi="Arial"/>
          <w:sz w:val="22"/>
          <w:szCs w:val="22"/>
        </w:rPr>
        <w:t xml:space="preserve">Management emphasized that data accuracy and clinical quality of service are heavily prioritized over aggressive cost reduction strategies. This is consistent with the company's value-based care orientation, which financially incentivizes quality outcomes rather than cost-cutting alone. From an ethical standpoint, this prioritization reflects an appropriate hierarchy of values for a company operating in a clinical decision support capacity.</w:t>
      </w:r>
    </w:p>
    <w:p>
      <w:pPr>
        <w:spacing w:after="60" w:before="140" w:line="276"/>
        <w:jc w:val="both"/>
      </w:pPr>
      <w:r>
        <w:rPr>
          <w:rFonts w:ascii="Arial" w:cs="Arial" w:eastAsia="Arial" w:hAnsi="Arial"/>
          <w:b/>
          <w:bCs/>
          <w:color w:val="1F3864"/>
          <w:sz w:val="22"/>
          <w:szCs w:val="22"/>
        </w:rPr>
        <w:t xml:space="preserve">Q4. What mechanisms does Persivia employ to identify and mitigate algorithmic bias in its AI models?</w:t>
      </w:r>
    </w:p>
    <w:p>
      <w:pPr>
        <w:spacing w:after="100" w:before="60" w:line="276"/>
        <w:jc w:val="both"/>
      </w:pPr>
      <w:r>
        <w:rPr>
          <w:rFonts w:ascii="Arial" w:cs="Arial" w:eastAsia="Arial" w:hAnsi="Arial"/>
          <w:sz w:val="22"/>
          <w:szCs w:val="22"/>
        </w:rPr>
        <w:t xml:space="preserve">The company's AI models are trained utilizing a combination of general medical clinical rules and historical patient data. However, during the interview, no formally structured fairness monitoring framework or systematic demographic disparity analysis was explicitly discussed. This represents a potentially significant ethical gap, as AI systems trained on historical healthcare data are inherently vulnerable to reproducing the demographic disparities present in that data, potentially producing inequitable clinical recommendations.</w:t>
      </w:r>
    </w:p>
    <w:p>
      <w:pPr>
        <w:spacing w:after="60" w:before="140" w:line="276"/>
        <w:jc w:val="both"/>
      </w:pPr>
      <w:r>
        <w:rPr>
          <w:rFonts w:ascii="Arial" w:cs="Arial" w:eastAsia="Arial" w:hAnsi="Arial"/>
          <w:b/>
          <w:bCs/>
          <w:color w:val="1F3864"/>
          <w:sz w:val="22"/>
          <w:szCs w:val="22"/>
        </w:rPr>
        <w:t xml:space="preserve">Q5. How does Persivia approach AI explainability and transparency in its clinical decision support systems?</w:t>
      </w:r>
    </w:p>
    <w:p>
      <w:pPr>
        <w:spacing w:after="100" w:before="60" w:line="276"/>
        <w:jc w:val="both"/>
      </w:pPr>
      <w:r>
        <w:rPr>
          <w:rFonts w:ascii="Arial" w:cs="Arial" w:eastAsia="Arial" w:hAnsi="Arial"/>
          <w:sz w:val="22"/>
          <w:szCs w:val="22"/>
        </w:rPr>
        <w:t xml:space="preserve">The company's AI systems are explicitly designed to support and augment physician clinical decision-making rather than to replace it. Management emphasized that all AI-generated insights and recommendations are presented in a manner that allows healthcare professionals to understand the basis for those recommendations and exercise independent clinical judgment. The platform's human-in-the-loop design philosophy ensures that AI functions as a sophisticated clinical tool rather than an autonomous decision-maker.</w:t>
      </w:r>
    </w:p>
    <w:p>
      <w:pPr>
        <w:spacing w:after="60" w:before="140" w:line="276"/>
        <w:jc w:val="both"/>
      </w:pPr>
      <w:r>
        <w:rPr>
          <w:rFonts w:ascii="Arial" w:cs="Arial" w:eastAsia="Arial" w:hAnsi="Arial"/>
          <w:b/>
          <w:bCs/>
          <w:color w:val="1F3864"/>
          <w:sz w:val="22"/>
          <w:szCs w:val="22"/>
        </w:rPr>
        <w:t xml:space="preserve">Q6. What protocols govern error identification and correction in Persivia's AI models and datasets?</w:t>
      </w:r>
    </w:p>
    <w:p>
      <w:pPr>
        <w:spacing w:after="100" w:before="60" w:line="276"/>
        <w:jc w:val="both"/>
      </w:pPr>
      <w:r>
        <w:rPr>
          <w:rFonts w:ascii="Arial" w:cs="Arial" w:eastAsia="Arial" w:hAnsi="Arial"/>
          <w:sz w:val="22"/>
          <w:szCs w:val="22"/>
        </w:rPr>
        <w:t xml:space="preserve">The organization actively performs rigorous audits and systematic corrections whenever issues are identified in their predictive models or underlying datasets. While the specific technical mechanisms for error detection were not described in granular detail during the interview, the acknowledgment of active audit processes indicates a proactive rather than purely reactive approach to model quality management.</w:t>
      </w:r>
    </w:p>
    <w:p>
      <w:pPr>
        <w:spacing w:after="60" w:before="140" w:line="276"/>
        <w:jc w:val="both"/>
      </w:pPr>
      <w:r>
        <w:rPr>
          <w:rFonts w:ascii="Arial" w:cs="Arial" w:eastAsia="Arial" w:hAnsi="Arial"/>
          <w:b/>
          <w:bCs/>
          <w:color w:val="1F3864"/>
          <w:sz w:val="22"/>
          <w:szCs w:val="22"/>
        </w:rPr>
        <w:t xml:space="preserve">Q7. How does the company implement the human-in-the-loop principle across its clinical AI applications?</w:t>
      </w:r>
    </w:p>
    <w:p>
      <w:pPr>
        <w:spacing w:after="100" w:before="60" w:line="276"/>
        <w:jc w:val="both"/>
      </w:pPr>
      <w:r>
        <w:rPr>
          <w:rFonts w:ascii="Arial" w:cs="Arial" w:eastAsia="Arial" w:hAnsi="Arial"/>
          <w:sz w:val="22"/>
          <w:szCs w:val="22"/>
        </w:rPr>
        <w:t xml:space="preserve">All AI recommendations generated by the CareSpace® platform are designated as advisory outputs only. Final clinical decisions permanently remain with licensed healthcare professionals who retain full professional accountability for patient care outcomes. This design principle is consistent with both ethical best practices for clinical AI and with emerging regulatory frameworks governing AI-assisted clinical decision support.</w:t>
      </w:r>
    </w:p>
    <w:p>
      <w:pPr>
        <w:spacing w:after="60" w:before="140" w:line="276"/>
        <w:jc w:val="both"/>
      </w:pPr>
      <w:r>
        <w:rPr>
          <w:rFonts w:ascii="Arial" w:cs="Arial" w:eastAsia="Arial" w:hAnsi="Arial"/>
          <w:b/>
          <w:bCs/>
          <w:color w:val="1F3864"/>
          <w:sz w:val="22"/>
          <w:szCs w:val="22"/>
        </w:rPr>
        <w:t xml:space="preserve">Q8. How transparent is Persivia with its healthcare organization clients regarding platform capabilities and system limitations?</w:t>
      </w:r>
    </w:p>
    <w:p>
      <w:pPr>
        <w:spacing w:after="100" w:before="60" w:line="276"/>
        <w:jc w:val="both"/>
      </w:pPr>
      <w:r>
        <w:rPr>
          <w:rFonts w:ascii="Arial" w:cs="Arial" w:eastAsia="Arial" w:hAnsi="Arial"/>
          <w:sz w:val="22"/>
          <w:szCs w:val="22"/>
        </w:rPr>
        <w:t xml:space="preserve">Hospitals and partnering healthcare organizations are comprehensively informed about the platform's functional capabilities and underlying system architecture during the implementation process. The company provides structured onboarding and ongoing support through its Customer Success and Hypercare functions. However, the degree of transparency extended to individual patients regarding how their data is processed by Persivia's platform is mediated through client institutions rather than provided directly.</w:t>
      </w:r>
    </w:p>
    <w:p>
      <w:pPr>
        <w:spacing w:after="60" w:before="140" w:line="276"/>
        <w:jc w:val="both"/>
      </w:pPr>
      <w:r>
        <w:rPr>
          <w:rFonts w:ascii="Arial" w:cs="Arial" w:eastAsia="Arial" w:hAnsi="Arial"/>
          <w:b/>
          <w:bCs/>
          <w:color w:val="1F3864"/>
          <w:sz w:val="22"/>
          <w:szCs w:val="22"/>
        </w:rPr>
        <w:t xml:space="preserve">Q9. What is Persivia's incident response protocol when data security events occur?</w:t>
      </w:r>
    </w:p>
    <w:p>
      <w:pPr>
        <w:spacing w:after="100" w:before="60" w:line="276"/>
        <w:jc w:val="both"/>
      </w:pPr>
      <w:r>
        <w:rPr>
          <w:rFonts w:ascii="Arial" w:cs="Arial" w:eastAsia="Arial" w:hAnsi="Arial"/>
          <w:sz w:val="22"/>
          <w:szCs w:val="22"/>
        </w:rPr>
        <w:t xml:space="preserve">Basic security and compliance protocols exist within the organization to address security incidents. However, a significant finding from the interview was the absence of a dedicated cybersecurity resilience team operating as a distinct organizational unit with specialized expertise. This gap is particularly concerning given that healthcare organizations are among the most frequently targeted sectors by ransomware attacks and sophisticated cyber threats.</w:t>
      </w:r>
    </w:p>
    <w:p>
      <w:pPr>
        <w:spacing w:after="60" w:before="140" w:line="276"/>
        <w:jc w:val="both"/>
      </w:pPr>
      <w:r>
        <w:rPr>
          <w:rFonts w:ascii="Arial" w:cs="Arial" w:eastAsia="Arial" w:hAnsi="Arial"/>
          <w:b/>
          <w:bCs/>
          <w:color w:val="1F3864"/>
          <w:sz w:val="22"/>
          <w:szCs w:val="22"/>
        </w:rPr>
        <w:t xml:space="preserve">Q10. How does the company approach data ownership and patient consent management?</w:t>
      </w:r>
    </w:p>
    <w:p>
      <w:pPr>
        <w:spacing w:after="100" w:before="60" w:line="276"/>
        <w:jc w:val="both"/>
      </w:pPr>
      <w:r>
        <w:rPr>
          <w:rFonts w:ascii="Arial" w:cs="Arial" w:eastAsia="Arial" w:hAnsi="Arial"/>
          <w:sz w:val="22"/>
          <w:szCs w:val="22"/>
        </w:rPr>
        <w:t xml:space="preserve">Persivia's management stated that hospitals and healthcare organizations bear ultimate responsibility for obtaining appropriate patient consent for data use. Persivia processes patient data in its capacity as a service provider operating under Business Associate Agreements (BAAs) with client institutions, which establish the legal framework governing data use. From a strict legal standpoint, this arrangement is compliant with HIPAA's service provider framework. Ethically, however, this structure raises questions about the adequacy of patient transparency regarding third-party data processing and the distribution of ethical accountability between Persivia and its clients.</w:t>
      </w:r>
    </w:p>
    <w:p>
      <w:pPr>
        <w:spacing w:after="60" w:before="140" w:line="276"/>
        <w:jc w:val="both"/>
      </w:pPr>
      <w:r>
        <w:rPr>
          <w:rFonts w:ascii="Arial" w:cs="Arial" w:eastAsia="Arial" w:hAnsi="Arial"/>
          <w:b/>
          <w:bCs/>
          <w:color w:val="1F3864"/>
          <w:sz w:val="22"/>
          <w:szCs w:val="22"/>
        </w:rPr>
        <w:t xml:space="preserve">Q11. What mechanisms exist for internal ethical reporting and whistleblower protection?</w:t>
      </w:r>
    </w:p>
    <w:p>
      <w:pPr>
        <w:spacing w:after="100" w:before="60" w:line="276"/>
        <w:jc w:val="both"/>
      </w:pPr>
      <w:r>
        <w:rPr>
          <w:rFonts w:ascii="Arial" w:cs="Arial" w:eastAsia="Arial" w:hAnsi="Arial"/>
          <w:sz w:val="22"/>
          <w:szCs w:val="22"/>
        </w:rPr>
        <w:t xml:space="preserve">Internal communications regarding ethical concerns are routed through technical management structures within the organization. However, no formal, dedicated whistleblower protection framework or anonymous reporting channel was explicitly identified during the interview. The absence of a formal ethical reporting mechanism represents a meaningful gap in the organization's ethics governance infrastructure, particularly given the sensitivity of the data environments in which employees operate.</w:t>
      </w:r>
    </w:p>
    <w:p>
      <w:pPr>
        <w:spacing w:after="60" w:before="140" w:line="276"/>
        <w:jc w:val="both"/>
      </w:pPr>
      <w:r>
        <w:rPr>
          <w:rFonts w:ascii="Arial" w:cs="Arial" w:eastAsia="Arial" w:hAnsi="Arial"/>
          <w:b/>
          <w:bCs/>
          <w:color w:val="1F3864"/>
          <w:sz w:val="22"/>
          <w:szCs w:val="22"/>
        </w:rPr>
        <w:t xml:space="preserve">Q12. How does Persivia adapt its practices to evolving healthcare data regulations and AI governance requirements?</w:t>
      </w:r>
    </w:p>
    <w:p>
      <w:pPr>
        <w:spacing w:after="100" w:before="60" w:line="276"/>
        <w:jc w:val="both"/>
      </w:pPr>
      <w:r>
        <w:rPr>
          <w:rFonts w:ascii="Arial" w:cs="Arial" w:eastAsia="Arial" w:hAnsi="Arial"/>
          <w:sz w:val="22"/>
          <w:szCs w:val="22"/>
        </w:rPr>
        <w:t xml:space="preserve">The company continuously monitors and updates its practices in accordance with evolving HIPAA standards, changing healthcare IT regulatory requirements, and emerging AI-related healthcare governance frameworks. The company's compliance function maintains awareness of regulatory developments and integrates required changes into operational procedures. This adaptive compliance posture is essential given the rapidly evolving nature of both AI regulation and healthcare data privacy law.</w:t>
      </w:r>
    </w:p>
    <w:p>
      <w:pPr>
        <w:spacing w:after="60" w:before="140" w:line="276"/>
        <w:jc w:val="both"/>
      </w:pPr>
      <w:r>
        <w:rPr>
          <w:rFonts w:ascii="Arial" w:cs="Arial" w:eastAsia="Arial" w:hAnsi="Arial"/>
          <w:b/>
          <w:bCs/>
          <w:color w:val="1F3864"/>
          <w:sz w:val="22"/>
          <w:szCs w:val="22"/>
        </w:rPr>
        <w:t xml:space="preserve">Q13. How does cross-functional collaboration between the Pakistan and U.S. teams operate in practice?</w:t>
      </w:r>
    </w:p>
    <w:p>
      <w:pPr>
        <w:spacing w:after="100" w:before="60" w:line="276"/>
        <w:jc w:val="both"/>
      </w:pPr>
      <w:r>
        <w:rPr>
          <w:rFonts w:ascii="Arial" w:cs="Arial" w:eastAsia="Arial" w:hAnsi="Arial"/>
          <w:sz w:val="22"/>
          <w:szCs w:val="22"/>
        </w:rPr>
        <w:t xml:space="preserve">Teams distributed across the Lahore and U.S. offices coordinate through unified technical operations workflows, shared collaborative tools, and structured communication processes. The global team structure functions as a single integrated technical organization rather than as separate regional entities, enabling consistent development practices and quality standards across geographic boundaries. This integrated model is important from an ethical standpoint, as it ensures that consistent data governance and security standards are applied regardless of where technical work is performed.</w:t>
      </w:r>
    </w:p>
    <w:p>
      <w:pPr>
        <w:spacing w:after="60" w:before="140" w:line="276"/>
        <w:jc w:val="both"/>
      </w:pPr>
      <w:r>
        <w:rPr>
          <w:rFonts w:ascii="Arial" w:cs="Arial" w:eastAsia="Arial" w:hAnsi="Arial"/>
          <w:b/>
          <w:bCs/>
          <w:color w:val="1F3864"/>
          <w:sz w:val="22"/>
          <w:szCs w:val="22"/>
        </w:rPr>
        <w:t xml:space="preserve">Q14. How does Persivia balance Agile development methodologies with the quality requirements of mission-critical healthcare systems?</w:t>
      </w:r>
    </w:p>
    <w:p>
      <w:pPr>
        <w:spacing w:after="100" w:before="60" w:line="276"/>
        <w:jc w:val="both"/>
      </w:pPr>
      <w:r>
        <w:rPr>
          <w:rFonts w:ascii="Arial" w:cs="Arial" w:eastAsia="Arial" w:hAnsi="Arial"/>
          <w:sz w:val="22"/>
          <w:szCs w:val="22"/>
        </w:rPr>
        <w:t xml:space="preserve">The company utilizes Agile development methodologies as its primary framework for software development, but with significant modifications designed to accommodate the stringent quality and reliability requirements of healthcare IT environments. This includes continuous testing protocols, structured validation processes, and additional quality gates that are layered onto standard Agile sprint cycles. This hybrid approach attempts to preserve the innovation velocity benefits of Agile while ensuring the reliability and safety characteristics required of systems that inform clinical care decisions.</w:t>
      </w:r>
    </w:p>
    <w:p>
      <w:pPr>
        <w:spacing w:after="60" w:before="140" w:line="276"/>
        <w:jc w:val="both"/>
      </w:pPr>
      <w:r>
        <w:rPr>
          <w:rFonts w:ascii="Arial" w:cs="Arial" w:eastAsia="Arial" w:hAnsi="Arial"/>
          <w:b/>
          <w:bCs/>
          <w:color w:val="1F3864"/>
          <w:sz w:val="22"/>
          <w:szCs w:val="22"/>
        </w:rPr>
        <w:t xml:space="preserve">Q15. What does Persivia's management identify as the most significant emerging ethical challenges in healthcare AI?</w:t>
      </w:r>
    </w:p>
    <w:p>
      <w:pPr>
        <w:spacing w:after="100" w:before="60" w:line="276"/>
        <w:jc w:val="both"/>
      </w:pPr>
      <w:r>
        <w:rPr>
          <w:rFonts w:ascii="Arial" w:cs="Arial" w:eastAsia="Arial" w:hAnsi="Arial"/>
          <w:sz w:val="22"/>
          <w:szCs w:val="22"/>
        </w:rPr>
        <w:t xml:space="preserve">Management identified three primary areas of emerging ethical concern: data manipulation and integrity preservation in AI training datasets; the governance of AI model outputs to ensure they remain accurate, unbiased, and clinically appropriate over time; and the maintenance of strict healthcare data accuracy standards as AI systems become more deeply integrated into clinical workflows. These concerns are consistent with the broader discourse in healthcare AI ethics and suggest that Persivia's leadership is engaged with the ethical dimensions of its technology development work.</w:t>
      </w:r>
    </w:p>
    <w:p>
      <w:r>
        <w:br/>
      </w:r>
    </w:p>
    <w:p>
      <w:pPr>
        <w:pStyle w:val="Heading1"/>
        <w:spacing w:after="200" w:before="360"/>
      </w:pPr>
      <w:r>
        <w:rPr>
          <w:rFonts w:ascii="Arial" w:cs="Arial" w:eastAsia="Arial" w:hAnsi="Arial"/>
          <w:b/>
          <w:bCs/>
          <w:color w:val="1F3864"/>
          <w:sz w:val="32"/>
          <w:szCs w:val="32"/>
        </w:rPr>
        <w:t xml:space="preserve">9. Analysis and Findings</w:t>
      </w:r>
    </w:p>
    <w:p>
      <w:pPr>
        <w:pBdr>
          <w:bottom w:val="single" w:color="2E75B6" w:sz="6" w:space="1"/>
        </w:pBdr>
        <w:spacing w:after="120" w:before="120"/>
      </w:pPr>
    </w:p>
    <w:p>
      <w:pPr>
        <w:pStyle w:val="Heading2"/>
        <w:spacing w:after="140" w:before="280"/>
      </w:pPr>
      <w:r>
        <w:rPr>
          <w:rFonts w:ascii="Arial" w:cs="Arial" w:eastAsia="Arial" w:hAnsi="Arial"/>
          <w:b/>
          <w:bCs/>
          <w:color w:val="2E75B6"/>
          <w:sz w:val="26"/>
          <w:szCs w:val="26"/>
        </w:rPr>
        <w:t xml:space="preserve">9.1 Key Findings</w:t>
      </w:r>
    </w:p>
    <w:p>
      <w:pPr>
        <w:spacing w:after="120" w:before="80" w:line="276"/>
        <w:jc w:val="both"/>
      </w:pPr>
      <w:r>
        <w:rPr>
          <w:rFonts w:ascii="Arial" w:cs="Arial" w:eastAsia="Arial" w:hAnsi="Arial"/>
          <w:b w:val="false"/>
          <w:bCs w:val="false"/>
          <w:i w:val="false"/>
          <w:iCs w:val="false"/>
          <w:color w:val="000000"/>
          <w:sz w:val="22"/>
          <w:szCs w:val="22"/>
        </w:rPr>
        <w:t xml:space="preserve">The combination of primary interview data, direct organizational observation, and secondary analysis of publicly available information yielded a set of critical findings regarding Persivia's operational ethics, data governance practices, and AI accountability frameworks. These findings are organized thematically to facilitate systematic analysis.</w:t>
      </w:r>
    </w:p>
    <w:p>
      <w:pPr>
        <w:spacing w:after="60" w:before="0"/>
      </w:pPr>
    </w:p>
    <w:p>
      <w:pPr>
        <w:pStyle w:val="Heading3"/>
        <w:spacing w:after="100" w:before="200"/>
      </w:pPr>
      <w:r>
        <w:rPr>
          <w:rFonts w:ascii="Arial" w:cs="Arial" w:eastAsia="Arial" w:hAnsi="Arial"/>
          <w:b/>
          <w:bCs/>
          <w:color w:val="595959"/>
          <w:sz w:val="23"/>
          <w:szCs w:val="23"/>
        </w:rPr>
        <w:t xml:space="preserve">Strong Data Protection Architecture</w:t>
      </w:r>
    </w:p>
    <w:p>
      <w:pPr>
        <w:spacing w:after="120" w:before="80" w:line="276"/>
        <w:jc w:val="both"/>
      </w:pPr>
      <w:r>
        <w:rPr>
          <w:rFonts w:ascii="Arial" w:cs="Arial" w:eastAsia="Arial" w:hAnsi="Arial"/>
          <w:b w:val="false"/>
          <w:bCs w:val="false"/>
          <w:i w:val="false"/>
          <w:iCs w:val="false"/>
          <w:color w:val="000000"/>
          <w:sz w:val="22"/>
          <w:szCs w:val="22"/>
        </w:rPr>
        <w:t xml:space="preserve">Persivia has invested meaningfully in establishing a controlled data governance architecture. The combination of role-based access controls, VPN-restricted system access, physical and logical data segregation between client datasets, and self-hosted server infrastructure reflects a genuinely robust approach to internal access governance. These measures collectively minimize the surface area for unauthorized data access and demonstrate a serious organizational commitment to data protection that goes beyond minimum HIPAA compliance thresholds.</w:t>
      </w:r>
    </w:p>
    <w:p>
      <w:pPr>
        <w:spacing w:after="60" w:before="0"/>
      </w:pPr>
    </w:p>
    <w:p>
      <w:pPr>
        <w:pStyle w:val="Heading3"/>
        <w:spacing w:after="100" w:before="200"/>
      </w:pPr>
      <w:r>
        <w:rPr>
          <w:rFonts w:ascii="Arial" w:cs="Arial" w:eastAsia="Arial" w:hAnsi="Arial"/>
          <w:b/>
          <w:bCs/>
          <w:color w:val="595959"/>
          <w:sz w:val="23"/>
          <w:szCs w:val="23"/>
        </w:rPr>
        <w:t xml:space="preserve">Centralized Data Processing Control</w:t>
      </w:r>
    </w:p>
    <w:p>
      <w:pPr>
        <w:spacing w:after="120" w:before="80" w:line="276"/>
        <w:jc w:val="both"/>
      </w:pPr>
      <w:r>
        <w:rPr>
          <w:rFonts w:ascii="Arial" w:cs="Arial" w:eastAsia="Arial" w:hAnsi="Arial"/>
          <w:b w:val="false"/>
          <w:bCs w:val="false"/>
          <w:i w:val="false"/>
          <w:iCs w:val="false"/>
          <w:color w:val="000000"/>
          <w:sz w:val="22"/>
          <w:szCs w:val="22"/>
        </w:rPr>
        <w:t xml:space="preserve">Access to complete, unaggregated datasets for AI model training purposes is strictly limited to a dedicated data-processing team. This centralization of data access authorization is an ethically sound practice that dramatically reduces the risk of internal data misuse, accidental exposure through inappropriate access, or the creation of unnecessary copies of sensitive patient information across the organization. From an ethical standpoint, limiting data access to those with a specific, defined operational need is a foundational principle of responsible data stewardship.</w:t>
      </w:r>
    </w:p>
    <w:p>
      <w:pPr>
        <w:spacing w:after="60" w:before="0"/>
      </w:pPr>
    </w:p>
    <w:p>
      <w:pPr>
        <w:pStyle w:val="Heading3"/>
        <w:spacing w:after="100" w:before="200"/>
      </w:pPr>
      <w:r>
        <w:rPr>
          <w:rFonts w:ascii="Arial" w:cs="Arial" w:eastAsia="Arial" w:hAnsi="Arial"/>
          <w:b/>
          <w:bCs/>
          <w:color w:val="595959"/>
          <w:sz w:val="23"/>
          <w:szCs w:val="23"/>
        </w:rPr>
        <w:t xml:space="preserve">Demonstrated Compliance Awareness</w:t>
      </w:r>
    </w:p>
    <w:p>
      <w:pPr>
        <w:spacing w:after="120" w:before="80" w:line="276"/>
        <w:jc w:val="both"/>
      </w:pPr>
      <w:r>
        <w:rPr>
          <w:rFonts w:ascii="Arial" w:cs="Arial" w:eastAsia="Arial" w:hAnsi="Arial"/>
          <w:b w:val="false"/>
          <w:bCs w:val="false"/>
          <w:i w:val="false"/>
          <w:iCs w:val="false"/>
          <w:color w:val="000000"/>
          <w:sz w:val="22"/>
          <w:szCs w:val="22"/>
        </w:rPr>
        <w:t xml:space="preserve">The company demonstrates high awareness of and adherence to applicable healthcare data regulations, including HIPAA compliance requirements and HL7 interoperability standards. This compliance awareness is reflected in both the company's internal operational practices and its external client-facing commitments. The active maintenance of Business Associate Agreements with client institutions and the continuous monitoring of regulatory developments indicates a mature compliance posture appropriate to the sensitivity of the data environment in which the company operates.</w:t>
      </w:r>
    </w:p>
    <w:p>
      <w:pPr>
        <w:spacing w:after="60" w:before="0"/>
      </w:pPr>
    </w:p>
    <w:p>
      <w:pPr>
        <w:pStyle w:val="Heading3"/>
        <w:spacing w:after="100" w:before="200"/>
      </w:pPr>
      <w:r>
        <w:rPr>
          <w:rFonts w:ascii="Arial" w:cs="Arial" w:eastAsia="Arial" w:hAnsi="Arial"/>
          <w:b/>
          <w:bCs/>
          <w:color w:val="595959"/>
          <w:sz w:val="23"/>
          <w:szCs w:val="23"/>
        </w:rPr>
        <w:t xml:space="preserve">Ethical Gap in Consent Management</w:t>
      </w:r>
    </w:p>
    <w:p>
      <w:pPr>
        <w:spacing w:after="120" w:before="80" w:line="276"/>
        <w:jc w:val="both"/>
      </w:pPr>
      <w:r>
        <w:rPr>
          <w:rFonts w:ascii="Arial" w:cs="Arial" w:eastAsia="Arial" w:hAnsi="Arial"/>
          <w:b w:val="false"/>
          <w:bCs w:val="false"/>
          <w:i w:val="false"/>
          <w:iCs w:val="false"/>
          <w:color w:val="000000"/>
          <w:sz w:val="22"/>
          <w:szCs w:val="22"/>
        </w:rPr>
        <w:t xml:space="preserve">One of the most significant ethical findings from the interview concerns the complete delegation of patient consent responsibility to client healthcare organizations. While this arrangement is legally structured through Business Associate Agreements and is technically compliant with HIPAA's service provider framework, it creates an ethical gap in which individual patients may have limited transparency about how their health information is being processed by Persivia's platform. From a patient-centered ethics perspective, the adequacy of consent frameworks should be evaluated not only against the minimum legal standard but against the broader ethical principle of meaningful, informed patient autonomy over their own health data.</w:t>
      </w:r>
    </w:p>
    <w:p>
      <w:pPr>
        <w:spacing w:after="60" w:before="0"/>
      </w:pPr>
    </w:p>
    <w:p>
      <w:pPr>
        <w:pStyle w:val="Heading3"/>
        <w:spacing w:after="100" w:before="200"/>
      </w:pPr>
      <w:r>
        <w:rPr>
          <w:rFonts w:ascii="Arial" w:cs="Arial" w:eastAsia="Arial" w:hAnsi="Arial"/>
          <w:b/>
          <w:bCs/>
          <w:color w:val="595959"/>
          <w:sz w:val="23"/>
          <w:szCs w:val="23"/>
        </w:rPr>
        <w:t xml:space="preserve">Infrastructure Security Strength</w:t>
      </w:r>
    </w:p>
    <w:p>
      <w:pPr>
        <w:spacing w:after="120" w:before="80" w:line="276"/>
        <w:jc w:val="both"/>
      </w:pPr>
      <w:r>
        <w:rPr>
          <w:rFonts w:ascii="Arial" w:cs="Arial" w:eastAsia="Arial" w:hAnsi="Arial"/>
          <w:b w:val="false"/>
          <w:bCs w:val="false"/>
          <w:i w:val="false"/>
          <w:iCs w:val="false"/>
          <w:color w:val="000000"/>
          <w:sz w:val="22"/>
          <w:szCs w:val="22"/>
        </w:rPr>
        <w:t xml:space="preserve">The company's decision to maintain self-hosted servers, deliberately avoiding reliance on third-party cloud computing services, and restricts all employee server access through VPN authentication represents a notably strong and proactive infrastructure security posture. Self-hosting provides greater organizational control over data residency, reduces the attack surface associated with shared cloud environments, and enables more precise monitoring of data access and movement. This infrastructure choice reflects an organizational judgment that the control benefits of self-hosting outweigh the scalability and operational convenience benefits of cloud migration.</w:t>
      </w:r>
    </w:p>
    <w:p>
      <w:pPr>
        <w:spacing w:after="60" w:before="0"/>
      </w:pPr>
    </w:p>
    <w:p>
      <w:pPr>
        <w:pStyle w:val="Heading3"/>
        <w:spacing w:after="100" w:before="200"/>
      </w:pPr>
      <w:r>
        <w:rPr>
          <w:rFonts w:ascii="Arial" w:cs="Arial" w:eastAsia="Arial" w:hAnsi="Arial"/>
          <w:b/>
          <w:bCs/>
          <w:color w:val="595959"/>
          <w:sz w:val="23"/>
          <w:szCs w:val="23"/>
        </w:rPr>
        <w:t xml:space="preserve">Critical Gap: Absence of Dedicated Cybersecurity Function</w:t>
      </w:r>
    </w:p>
    <w:p>
      <w:pPr>
        <w:spacing w:after="120" w:before="80" w:line="276"/>
        <w:jc w:val="both"/>
      </w:pPr>
      <w:r>
        <w:rPr>
          <w:rFonts w:ascii="Arial" w:cs="Arial" w:eastAsia="Arial" w:hAnsi="Arial"/>
          <w:b w:val="false"/>
          <w:bCs w:val="false"/>
          <w:i w:val="false"/>
          <w:iCs w:val="false"/>
          <w:color w:val="000000"/>
          <w:sz w:val="22"/>
          <w:szCs w:val="22"/>
        </w:rPr>
        <w:t xml:space="preserve">The most significant operational vulnerability identified through the interview process is the absence of a dedicated cybersecurity or cyber resilience team operating as a distinct organizational entity with specialized expertise. Healthcare organizations are among the most frequently and aggressively targeted sectors in the global cyber threat landscape, facing sophisticated ransomware attacks, data breach attempts, and persistent threat actors motivated by the high value of healthcare data on illicit markets. The absence of a dedicated cybersecurity team means that security responsibilities are likely distributed across other technical functions, creating potential gaps in threat monitoring, incident response capability, and proactive security posture management.</w:t>
      </w:r>
    </w:p>
    <w:p>
      <w:pPr>
        <w:spacing w:after="60" w:before="0"/>
      </w:pPr>
    </w:p>
    <w:p>
      <w:pPr>
        <w:pStyle w:val="Heading3"/>
        <w:spacing w:after="100" w:before="200"/>
      </w:pPr>
      <w:r>
        <w:rPr>
          <w:rFonts w:ascii="Arial" w:cs="Arial" w:eastAsia="Arial" w:hAnsi="Arial"/>
          <w:b/>
          <w:bCs/>
          <w:color w:val="595959"/>
          <w:sz w:val="23"/>
          <w:szCs w:val="23"/>
        </w:rPr>
        <w:t xml:space="preserve">Limited Cyber Ethics Training</w:t>
      </w:r>
    </w:p>
    <w:p>
      <w:pPr>
        <w:spacing w:after="120" w:before="80" w:line="276"/>
        <w:jc w:val="both"/>
      </w:pPr>
      <w:r>
        <w:rPr>
          <w:rFonts w:ascii="Arial" w:cs="Arial" w:eastAsia="Arial" w:hAnsi="Arial"/>
          <w:b w:val="false"/>
          <w:bCs w:val="false"/>
          <w:i w:val="false"/>
          <w:iCs w:val="false"/>
          <w:color w:val="000000"/>
          <w:sz w:val="22"/>
          <w:szCs w:val="22"/>
        </w:rPr>
        <w:t xml:space="preserve">The interview revealed that employees are not deeply or systematically trained in cyber ethics, ethical AI practice, or responsible data governance as part of a formal, structured employee development program. This represents a meaningful ethical vulnerability because human error, inadequate ethical judgment, and insufficient awareness of data sensitivity consistently rank among the leading causes of healthcare data breaches. Establishing a robust culture of data ethics requires more than technical controls; it requires that every employee who interacts with sensitive healthcare data understands the ethical significance of that data and their personal responsibility as a steward of patient privacy.</w:t>
      </w:r>
    </w:p>
    <w:p>
      <w:pPr>
        <w:spacing w:after="60" w:before="0"/>
      </w:pPr>
    </w:p>
    <w:p>
      <w:pPr>
        <w:pStyle w:val="Heading3"/>
        <w:spacing w:after="100" w:before="200"/>
      </w:pPr>
      <w:r>
        <w:rPr>
          <w:rFonts w:ascii="Arial" w:cs="Arial" w:eastAsia="Arial" w:hAnsi="Arial"/>
          <w:b/>
          <w:bCs/>
          <w:color w:val="595959"/>
          <w:sz w:val="23"/>
          <w:szCs w:val="23"/>
        </w:rPr>
        <w:t xml:space="preserve">Proactive Governance of AI Tools</w:t>
      </w:r>
    </w:p>
    <w:p>
      <w:pPr>
        <w:spacing w:after="120" w:before="80" w:line="276"/>
        <w:jc w:val="both"/>
      </w:pPr>
      <w:r>
        <w:rPr>
          <w:rFonts w:ascii="Arial" w:cs="Arial" w:eastAsia="Arial" w:hAnsi="Arial"/>
          <w:b w:val="false"/>
          <w:bCs w:val="false"/>
          <w:i w:val="false"/>
          <w:iCs w:val="false"/>
          <w:color w:val="000000"/>
          <w:sz w:val="22"/>
          <w:szCs w:val="22"/>
        </w:rPr>
        <w:t xml:space="preserve">One of the most noteworthy proactive ethical governance measures identified during the interview is Persivia's decision to restrict the internal use of Large Language Models (LLMs) to a single approved system, specifically Anthropic's Claude, due to its demonstrated HIPAA compliance commitments and privacy protections. This policy reflects sophisticated organizational awareness of the data privacy risks associated with general-purpose commercial AI tools, which may process and retain input data in ways inconsistent with HIPAA obligations. The proactive restriction of LLM access demonstrates meaningful AI governance maturity, particularly at a time when many organizations are still developing their AI tool governance frameworks.</w:t>
      </w:r>
    </w:p>
    <w:p>
      <w:pPr>
        <w:spacing w:after="60" w:before="0"/>
      </w:pPr>
    </w:p>
    <w:p>
      <w:pPr>
        <w:pStyle w:val="Heading3"/>
        <w:spacing w:after="100" w:before="200"/>
      </w:pPr>
      <w:r>
        <w:rPr>
          <w:rFonts w:ascii="Arial" w:cs="Arial" w:eastAsia="Arial" w:hAnsi="Arial"/>
          <w:b/>
          <w:bCs/>
          <w:color w:val="595959"/>
          <w:sz w:val="23"/>
          <w:szCs w:val="23"/>
        </w:rPr>
        <w:t xml:space="preserve">Absence of Formal Algorithmic Fairness Framework</w:t>
      </w:r>
    </w:p>
    <w:p>
      <w:pPr>
        <w:spacing w:after="120" w:before="80" w:line="276"/>
        <w:jc w:val="both"/>
      </w:pPr>
      <w:r>
        <w:rPr>
          <w:rFonts w:ascii="Arial" w:cs="Arial" w:eastAsia="Arial" w:hAnsi="Arial"/>
          <w:b w:val="false"/>
          <w:bCs w:val="false"/>
          <w:i w:val="false"/>
          <w:iCs w:val="false"/>
          <w:color w:val="000000"/>
          <w:sz w:val="22"/>
          <w:szCs w:val="22"/>
        </w:rPr>
        <w:t xml:space="preserve">The interview did not reveal the existence of a formally structured algorithmic bias monitoring or fairness evaluation framework within Persivia's AI development processes. While the company's models are designed to incorporate general medical clinical rules, the absence of systematic demographic disparity analysis, formal fairness auditing, and bias detection protocols represents a potential ethical vulnerability. Given Persivia's work with diverse patient populations across multiple healthcare organizations, ensuring that AI-generated risk stratification and clinical recommendations perform equitably across demographic groups is an ethical imperative that requires proactive rather than reactive attention.</w:t>
      </w:r>
    </w:p>
    <w:p>
      <w:pPr>
        <w:pStyle w:val="Heading2"/>
        <w:spacing w:after="140" w:before="280"/>
      </w:pPr>
      <w:r>
        <w:rPr>
          <w:rFonts w:ascii="Arial" w:cs="Arial" w:eastAsia="Arial" w:hAnsi="Arial"/>
          <w:b/>
          <w:bCs/>
          <w:color w:val="2E75B6"/>
          <w:sz w:val="26"/>
          <w:szCs w:val="26"/>
        </w:rPr>
        <w:t xml:space="preserve">9.2 Observations from the Company Visit</w:t>
      </w:r>
    </w:p>
    <w:p>
      <w:pPr>
        <w:spacing w:after="120" w:before="80" w:line="276"/>
        <w:jc w:val="both"/>
      </w:pPr>
      <w:r>
        <w:rPr>
          <w:rFonts w:ascii="Arial" w:cs="Arial" w:eastAsia="Arial" w:hAnsi="Arial"/>
          <w:b w:val="false"/>
          <w:bCs w:val="false"/>
          <w:i w:val="false"/>
          <w:iCs w:val="false"/>
          <w:color w:val="000000"/>
          <w:sz w:val="22"/>
          <w:szCs w:val="22"/>
        </w:rPr>
        <w:t xml:space="preserve">The physical visit to Persivia's Lahore office provided direct observational context that meaningfully enriched the interview data. The following key observations were recorded by team members during the visit:</w:t>
      </w:r>
    </w:p>
    <w:p>
      <w:pPr>
        <w:spacing w:after="60" w:before="0"/>
      </w:pPr>
    </w:p>
    <w:p>
      <w:pPr>
        <w:pBdr>
          <w:top w:val="single" w:color="B0B0B0" w:sz="6" w:space="4"/>
          <w:left w:val="single" w:color="B0B0B0" w:sz="6" w:space="4"/>
          <w:bottom w:val="single" w:color="B0B0B0" w:sz="6" w:space="4"/>
          <w:right w:val="single" w:color="B0B0B0" w:sz="6" w:space="4"/>
        </w:pBdr>
        <w:shd w:val="clear" w:color="auto" w:fill="F2F2F2"/>
        <w:spacing w:before="120" w:after="80"/>
        <w:jc w:val="center"/>
      </w:pPr>
      <w:r>
        <w:rPr>
          <w:rFonts w:ascii="Arial" w:hAnsi="Arial" w:cs="Arial"/>
          <w:color w:val="808080"/>
          <w:sz w:val="20"/>
          <w:szCs w:val="20"/>
          <w:i/>
        </w:rPr>
        <w:t xml:space="preserve">[ Image Placeholder ]</w:t>
      </w:r>
    </w:p>
    <w:p>
      <w:pPr>
        <w:spacing w:before="60" w:after="160"/>
        <w:jc w:val="center"/>
      </w:pPr>
      <w:r>
        <w:rPr>
          <w:rFonts w:ascii="Arial" w:hAnsi="Arial" w:cs="Arial"/>
          <w:color w:val="404040"/>
          <w:sz w:val="18"/>
          <w:szCs w:val="18"/>
          <w:i/>
        </w:rPr>
        <w:t xml:space="preserve">Figure 5: Our group conducting the professional interview at Persivia's Lahore office</w:t>
      </w:r>
    </w:p>
    <w:p>
      <w:pPr>
        <w:pBdr>
          <w:top w:val="single" w:color="B0B0B0" w:sz="6" w:space="4"/>
          <w:left w:val="single" w:color="B0B0B0" w:sz="6" w:space="4"/>
          <w:bottom w:val="single" w:color="B0B0B0" w:sz="6" w:space="4"/>
          <w:right w:val="single" w:color="B0B0B0" w:sz="6" w:space="4"/>
        </w:pBdr>
        <w:shd w:val="clear" w:color="auto" w:fill="F2F2F2"/>
        <w:spacing w:before="120" w:after="80"/>
        <w:jc w:val="center"/>
      </w:pPr>
      <w:r>
        <w:rPr>
          <w:rFonts w:ascii="Arial" w:hAnsi="Arial" w:cs="Arial"/>
          <w:color w:val="808080"/>
          <w:sz w:val="20"/>
          <w:szCs w:val="20"/>
          <w:i/>
        </w:rPr>
        <w:t xml:space="preserve">[ Image Placeholder ]</w:t>
      </w:r>
    </w:p>
    <w:p>
      <w:pPr>
        <w:spacing w:before="60" w:after="160"/>
        <w:jc w:val="center"/>
      </w:pPr>
      <w:r>
        <w:rPr>
          <w:rFonts w:ascii="Arial" w:hAnsi="Arial" w:cs="Arial"/>
          <w:color w:val="404040"/>
          <w:sz w:val="18"/>
          <w:szCs w:val="18"/>
          <w:i/>
        </w:rPr>
        <w:t xml:space="preserve">Figure 6: Our group with the interviewee at Persivia's Lahore office</w:t>
      </w:r>
    </w:p>
    <w:p>
      <w:pPr>
        <w:pBdr>
          <w:top w:val="single" w:color="B0B0B0" w:sz="6" w:space="4"/>
          <w:left w:val="single" w:color="B0B0B0" w:sz="6" w:space="4"/>
          <w:bottom w:val="single" w:color="B0B0B0" w:sz="6" w:space="4"/>
          <w:right w:val="single" w:color="B0B0B0" w:sz="6" w:space="4"/>
        </w:pBdr>
        <w:shd w:val="clear" w:color="auto" w:fill="F2F2F2"/>
        <w:spacing w:before="120" w:after="80"/>
        <w:jc w:val="center"/>
      </w:pPr>
      <w:r>
        <w:rPr>
          <w:rFonts w:ascii="Arial" w:hAnsi="Arial" w:cs="Arial"/>
          <w:color w:val="808080"/>
          <w:sz w:val="20"/>
          <w:szCs w:val="20"/>
          <w:i/>
        </w:rPr>
        <w:t xml:space="preserve">[ Image Placeholder ]</w:t>
      </w:r>
    </w:p>
    <w:p>
      <w:pPr>
        <w:spacing w:before="60" w:after="160"/>
        <w:jc w:val="center"/>
      </w:pPr>
      <w:r>
        <w:rPr>
          <w:rFonts w:ascii="Arial" w:hAnsi="Arial" w:cs="Arial"/>
          <w:color w:val="404040"/>
          <w:sz w:val="18"/>
          <w:szCs w:val="18"/>
          <w:i/>
        </w:rPr>
        <w:t xml:space="preserve">Figure 7: Group photo: Usman Ali, Saad Mughal, and Khadijah Zahoor</w:t>
      </w:r>
    </w:p>
    <w:p>
      <w:pPr>
        <w:spacing w:after="120" w:before="80" w:line="276"/>
        <w:jc w:val="both"/>
      </w:pPr>
      <w:r>
        <w:rPr>
          <w:rFonts w:ascii="Arial" w:cs="Arial" w:eastAsia="Arial" w:hAnsi="Arial"/>
          <w:b w:val="false"/>
          <w:bCs w:val="false"/>
          <w:i w:val="false"/>
          <w:iCs w:val="false"/>
          <w:color w:val="000000"/>
          <w:sz w:val="22"/>
          <w:szCs w:val="22"/>
        </w:rPr>
        <w:t xml:space="preserve">The physical workspace reflects a controlled, professional engineering environment with clear delineation between different functional team areas. Security access controls at the office level were visible, consistent with the company's described approach to data access governance. The team observed that the engineering workspace environment prioritizes focused individual work while maintaining collaborative areas for team discussion, a physical environment consistent with the Agile development methodology the company described.</w:t>
      </w:r>
    </w:p>
    <w:p>
      <w:pPr>
        <w:spacing w:after="60" w:before="0"/>
      </w:pPr>
    </w:p>
    <w:p>
      <w:pPr>
        <w:pBdr>
          <w:top w:val="single" w:color="B0B0B0" w:sz="6" w:space="4"/>
          <w:left w:val="single" w:color="B0B0B0" w:sz="6" w:space="4"/>
          <w:bottom w:val="single" w:color="B0B0B0" w:sz="6" w:space="4"/>
          <w:right w:val="single" w:color="B0B0B0" w:sz="6" w:space="4"/>
        </w:pBdr>
        <w:shd w:val="clear" w:color="auto" w:fill="F2F2F2"/>
        <w:spacing w:before="120" w:after="80"/>
        <w:jc w:val="center"/>
      </w:pPr>
      <w:r>
        <w:rPr>
          <w:rFonts w:ascii="Arial" w:hAnsi="Arial" w:cs="Arial"/>
          <w:color w:val="808080"/>
          <w:sz w:val="20"/>
          <w:szCs w:val="20"/>
          <w:i/>
        </w:rPr>
        <w:t xml:space="preserve">[ Image Placeholder ]</w:t>
      </w:r>
    </w:p>
    <w:p>
      <w:pPr>
        <w:spacing w:before="60" w:after="160"/>
        <w:jc w:val="center"/>
      </w:pPr>
      <w:r>
        <w:rPr>
          <w:rFonts w:ascii="Arial" w:hAnsi="Arial" w:cs="Arial"/>
          <w:color w:val="404040"/>
          <w:sz w:val="18"/>
          <w:szCs w:val="18"/>
          <w:i/>
        </w:rPr>
        <w:t xml:space="preserve">Figure 1: Persivia Office Environment – Engineering workspace area</w:t>
      </w:r>
    </w:p>
    <w:p>
      <w:pPr>
        <w:pBdr>
          <w:top w:val="single" w:color="B0B0B0" w:sz="6" w:space="4"/>
          <w:left w:val="single" w:color="B0B0B0" w:sz="6" w:space="4"/>
          <w:bottom w:val="single" w:color="B0B0B0" w:sz="6" w:space="4"/>
          <w:right w:val="single" w:color="B0B0B0" w:sz="6" w:space="4"/>
        </w:pBdr>
        <w:shd w:val="clear" w:color="auto" w:fill="F2F2F2"/>
        <w:spacing w:before="120" w:after="80"/>
        <w:jc w:val="center"/>
      </w:pPr>
      <w:r>
        <w:rPr>
          <w:rFonts w:ascii="Arial" w:hAnsi="Arial" w:cs="Arial"/>
          <w:color w:val="808080"/>
          <w:sz w:val="20"/>
          <w:szCs w:val="20"/>
          <w:i/>
        </w:rPr>
        <w:t xml:space="preserve">[ Image Placeholder ]</w:t>
      </w:r>
    </w:p>
    <w:p>
      <w:pPr>
        <w:spacing w:before="60" w:after="160"/>
        <w:jc w:val="center"/>
      </w:pPr>
      <w:r>
        <w:rPr>
          <w:rFonts w:ascii="Arial" w:hAnsi="Arial" w:cs="Arial"/>
          <w:color w:val="404040"/>
          <w:sz w:val="18"/>
          <w:szCs w:val="18"/>
          <w:i/>
        </w:rPr>
        <w:t xml:space="preserve">Figure 2: Persivia Office Environment – Collaborative team spaces</w:t>
      </w:r>
    </w:p>
    <w:p>
      <w:pPr>
        <w:spacing w:after="120" w:before="80" w:line="276"/>
        <w:jc w:val="both"/>
      </w:pPr>
      <w:r>
        <w:rPr>
          <w:rFonts w:ascii="Arial" w:cs="Arial" w:eastAsia="Arial" w:hAnsi="Arial"/>
          <w:b w:val="false"/>
          <w:bCs w:val="false"/>
          <w:i w:val="false"/>
          <w:iCs w:val="false"/>
          <w:color w:val="000000"/>
          <w:sz w:val="22"/>
          <w:szCs w:val="22"/>
        </w:rPr>
        <w:t xml:space="preserve">Interactions with technical staff during the visit confirmed the global, distributed nature of the team's collaborative workflow. Engineers in the Lahore office participate actively in product development, AI model work, and platform architecture decisions that are coordinated with the U.S. team through structured asynchronous and synchronous communication frameworks. This integrated collaboration model ensures that a single set of technical standards, data governance protocols, and quality requirements governs all development work regardless of geographic location.</w:t>
      </w:r>
    </w:p>
    <w:p>
      <w:pPr>
        <w:pBdr>
          <w:top w:val="single" w:color="B0B0B0" w:sz="6" w:space="4"/>
          <w:left w:val="single" w:color="B0B0B0" w:sz="6" w:space="4"/>
          <w:bottom w:val="single" w:color="B0B0B0" w:sz="6" w:space="4"/>
          <w:right w:val="single" w:color="B0B0B0" w:sz="6" w:space="4"/>
        </w:pBdr>
        <w:shd w:val="clear" w:color="auto" w:fill="F2F2F2"/>
        <w:spacing w:before="120" w:after="80"/>
        <w:jc w:val="center"/>
      </w:pPr>
      <w:r>
        <w:rPr>
          <w:rFonts w:ascii="Arial" w:hAnsi="Arial" w:cs="Arial"/>
          <w:color w:val="808080"/>
          <w:sz w:val="20"/>
          <w:szCs w:val="20"/>
          <w:i/>
        </w:rPr>
        <w:t xml:space="preserve">[ Image Placeholder ]</w:t>
      </w:r>
    </w:p>
    <w:p>
      <w:pPr>
        <w:spacing w:before="60" w:after="160"/>
        <w:jc w:val="center"/>
      </w:pPr>
      <w:r>
        <w:rPr>
          <w:rFonts w:ascii="Arial" w:hAnsi="Arial" w:cs="Arial"/>
          <w:color w:val="404040"/>
          <w:sz w:val="18"/>
          <w:szCs w:val="18"/>
          <w:i/>
        </w:rPr>
        <w:t xml:space="preserve">Figure 3: Persivia Office Environment – Engineering team collaboration in action</w:t>
      </w:r>
    </w:p>
    <w:p>
      <w:pPr>
        <w:pBdr>
          <w:top w:val="single" w:color="B0B0B0" w:sz="6" w:space="4"/>
          <w:left w:val="single" w:color="B0B0B0" w:sz="6" w:space="4"/>
          <w:bottom w:val="single" w:color="B0B0B0" w:sz="6" w:space="4"/>
          <w:right w:val="single" w:color="B0B0B0" w:sz="6" w:space="4"/>
        </w:pBdr>
        <w:shd w:val="clear" w:color="auto" w:fill="F2F2F2"/>
        <w:spacing w:before="120" w:after="80"/>
        <w:jc w:val="center"/>
      </w:pPr>
      <w:r>
        <w:rPr>
          <w:rFonts w:ascii="Arial" w:hAnsi="Arial" w:cs="Arial"/>
          <w:color w:val="808080"/>
          <w:sz w:val="20"/>
          <w:szCs w:val="20"/>
          <w:i/>
        </w:rPr>
        <w:t xml:space="preserve">[ Image Placeholder ]</w:t>
      </w:r>
    </w:p>
    <w:p>
      <w:pPr>
        <w:spacing w:before="60" w:after="160"/>
        <w:jc w:val="center"/>
      </w:pPr>
      <w:r>
        <w:rPr>
          <w:rFonts w:ascii="Arial" w:hAnsi="Arial" w:cs="Arial"/>
          <w:color w:val="404040"/>
          <w:sz w:val="18"/>
          <w:szCs w:val="18"/>
          <w:i/>
        </w:rPr>
        <w:t xml:space="preserve">Figure 4: Persivia Office Environment – Office common areas and work environment</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company's emphasis on data accuracy as a foundational ethical and operational priority was particularly evident in discussions with technical team members. Multiple interviewees independently emphasized the high cost of data inaccuracies in a clinical environment, where incorrect risk stratification or missed care gaps can translate directly into suboptimal patient care decisions. This shared organizational understanding of the clinical stakes attached to data quality represents a meaningful ethical asset.</w:t>
      </w:r>
    </w:p>
    <w:p>
      <w:pPr>
        <w:pStyle w:val="Heading2"/>
        <w:spacing w:after="140" w:before="280"/>
      </w:pPr>
      <w:r>
        <w:rPr>
          <w:rFonts w:ascii="Arial" w:cs="Arial" w:eastAsia="Arial" w:hAnsi="Arial"/>
          <w:b/>
          <w:bCs/>
          <w:color w:val="2E75B6"/>
          <w:sz w:val="26"/>
          <w:szCs w:val="26"/>
        </w:rPr>
        <w:t xml:space="preserve">9.3 Impact and Learning Outcomes</w:t>
      </w:r>
    </w:p>
    <w:p>
      <w:pPr>
        <w:spacing w:after="120" w:before="80" w:line="276"/>
        <w:jc w:val="both"/>
      </w:pPr>
      <w:r>
        <w:rPr>
          <w:rFonts w:ascii="Arial" w:cs="Arial" w:eastAsia="Arial" w:hAnsi="Arial"/>
          <w:b w:val="false"/>
          <w:bCs w:val="false"/>
          <w:i w:val="false"/>
          <w:iCs w:val="false"/>
          <w:color w:val="000000"/>
          <w:sz w:val="22"/>
          <w:szCs w:val="22"/>
        </w:rPr>
        <w:t xml:space="preserve">The Persivia company visit and interview experience delivered a set of learning outcomes that substantially deepened our understanding of professional ethics in the healthcare technology industry and directly connected academic theoretical frameworks to real-world organizational practice.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At the technical level, the visit provided concrete understanding of healthcare data architecture in production environments, including the practical implementation of role-based access controls, data segregation protocols, VPN-based access management, and self-hosted infrastructure design. These are not abstract concepts encountered in textbooks; they are specific engineering and operational choices made by a real organization in response to real ethical and regulatory imperatives.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At the ethical level, the experience illuminated the complexity and multi-dimensionality of data ethics in a healthcare context. Ethical accountability in healthcare IT is not simply a matter of complying with HIPAA's technical requirements; it encompasses organizational culture, employee training, governance structures, transparency mechanisms, patient-centered consent frameworks, algorithmic fairness monitoring, and the distribution of responsibility across multiple institutional actors. The nuances of Persivia's ethical posture, with genuine strengths in infrastructure security and data governance balanced against meaningful gaps in cybersecurity specialization and algorithmic fairness monitoring, provided a realistic and instructive picture of how ethical commitments manifest in practice within a real organization operating under significant resource and competitive constraints.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At the regulatory level, the experience provided practical insight into how HIPAA compliance requirements are operationalized within a healthcare analytics company, including the role of Business Associate Agreements, the legal framework governing service provider data access, and the practical challenges of maintaining compliance in an environment of rapidly evolving AI regulation. This regulatory awareness is directly applicable to future professional practice in healthcare technology, legal technology, and any other domain involving the management of sensitive personal data.</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At the professional development level, the experience of conducting a semi-structured professional interview with organizational leadership, synthesizing qualitative interview data into structured analytical findings, and developing actionable recommendations based on that analysis provided direct experience with the core competencies of professional consulting, organizational research, and strategic analysis.</w:t>
      </w:r>
    </w:p>
    <w:p>
      <w:pPr>
        <w:pStyle w:val="Heading2"/>
        <w:spacing w:after="140" w:before="280"/>
      </w:pPr>
      <w:r>
        <w:rPr>
          <w:rFonts w:ascii="Arial" w:cs="Arial" w:eastAsia="Arial" w:hAnsi="Arial"/>
          <w:b/>
          <w:bCs/>
          <w:color w:val="2E75B6"/>
          <w:sz w:val="26"/>
          <w:szCs w:val="26"/>
        </w:rPr>
        <w:t xml:space="preserve">9.4 Ethical and Operational Challenges</w:t>
      </w:r>
    </w:p>
    <w:p>
      <w:pPr>
        <w:spacing w:after="120" w:before="80" w:line="276"/>
        <w:jc w:val="both"/>
      </w:pPr>
      <w:r>
        <w:rPr>
          <w:rFonts w:ascii="Arial" w:cs="Arial" w:eastAsia="Arial" w:hAnsi="Arial"/>
          <w:b w:val="false"/>
          <w:bCs w:val="false"/>
          <w:i w:val="false"/>
          <w:iCs w:val="false"/>
          <w:color w:val="000000"/>
          <w:sz w:val="22"/>
          <w:szCs w:val="22"/>
        </w:rPr>
        <w:t xml:space="preserve">Several significant challenges were identified through the analysis of Persivia's ethical and operational posture. These challenges are not unique to Persivia but are characteristic of the broader healthcare technology industry and reflect the inherent complexity of operating at the intersection of innovation, clinical responsibility, and regulatory compliance.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limited transparency challenge reflects the reality that certain operational and ethical details could not be explored in full depth during the interview due to appropriate confidentiality considerations, security restrictions around sensitive infrastructure details, and the company's obligations to protect client-specific information. This constraint is understandable and appropriate. Nevertheless, it underscores the importance of external transparency mechanisms and independent regulatory oversight in ensuring accountability within healthcare IT organizations.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inherent ethical complexity of healthcare AI presents an ongoing challenge that cannot be fully resolved through any single governance mechanism. Operating in an environment where small data inaccuracies can compromise patient care, where algorithmic bias can harm vulnerable populations, and where the opacity of complex models creates accountability gaps makes ethical AI governance in healthcare uniquely demanding. Addressing this challenge requires ongoing investment in both technical fairness auditing and organizational ethics culture.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challenge of balancing innovation velocity with mission-critical reliability is a structural tension that every healthcare technology company faces. Agile development methodologies are optimized for rapid iteration and continuous improvement, characteristics that are genuinely valuable for platform competitiveness. However, healthcare IT environments require an exceptionally high bar of reliability, accuracy, and safety that creates friction with the pace-oriented culture of Agile development. Managing this tension requires deliberate organizational design and explicit governance mechanisms rather than an assumption that the two priorities will naturally balance themselves.</w:t>
      </w:r>
    </w:p>
    <w:p>
      <w:pPr>
        <w:pStyle w:val="Heading2"/>
        <w:spacing w:after="140" w:before="280"/>
      </w:pPr>
      <w:r>
        <w:rPr>
          <w:rFonts w:ascii="Arial" w:cs="Arial" w:eastAsia="Arial" w:hAnsi="Arial"/>
          <w:b/>
          <w:bCs/>
          <w:color w:val="2E75B6"/>
          <w:sz w:val="26"/>
          <w:szCs w:val="26"/>
        </w:rPr>
        <w:t xml:space="preserve">9.5 Future Recommendations</w:t>
      </w:r>
    </w:p>
    <w:p>
      <w:pPr>
        <w:spacing w:after="120" w:before="80" w:line="276"/>
        <w:jc w:val="both"/>
      </w:pPr>
      <w:r>
        <w:rPr>
          <w:rFonts w:ascii="Arial" w:cs="Arial" w:eastAsia="Arial" w:hAnsi="Arial"/>
          <w:b w:val="false"/>
          <w:bCs w:val="false"/>
          <w:i w:val="false"/>
          <w:iCs w:val="false"/>
          <w:color w:val="000000"/>
          <w:sz w:val="22"/>
          <w:szCs w:val="22"/>
        </w:rPr>
        <w:t xml:space="preserve">Based on the findings from our company analysis and interview, we propose the following evidence-informed recommendations for strengthening Persivia's ethical governance frameworks and operational risk management posture:</w:t>
      </w:r>
    </w:p>
    <w:p>
      <w:pPr>
        <w:spacing w:after="60" w:before="0"/>
      </w:pPr>
    </w:p>
    <w:p>
      <w:pPr>
        <w:pStyle w:val="Heading3"/>
        <w:spacing w:after="100" w:before="200"/>
      </w:pPr>
      <w:r>
        <w:rPr>
          <w:rFonts w:ascii="Arial" w:cs="Arial" w:eastAsia="Arial" w:hAnsi="Arial"/>
          <w:b/>
          <w:bCs/>
          <w:color w:val="595959"/>
          <w:sz w:val="23"/>
          <w:szCs w:val="23"/>
        </w:rPr>
        <w:t xml:space="preserve">1. Establish a Dedicated Cybersecurity Department</w:t>
      </w:r>
    </w:p>
    <w:p>
      <w:pPr>
        <w:spacing w:after="120" w:before="80" w:line="276"/>
        <w:jc w:val="both"/>
      </w:pPr>
      <w:r>
        <w:rPr>
          <w:rFonts w:ascii="Arial" w:cs="Arial" w:eastAsia="Arial" w:hAnsi="Arial"/>
          <w:b w:val="false"/>
          <w:bCs w:val="false"/>
          <w:i w:val="false"/>
          <w:iCs w:val="false"/>
          <w:color w:val="000000"/>
          <w:sz w:val="22"/>
          <w:szCs w:val="22"/>
        </w:rPr>
        <w:t xml:space="preserve">The single most urgent operational recommendation is the establishment of a specialized cybersecurity function with dedicated personnel whose exclusive mandate is threat detection, security auditing, incident response planning, and cyber resilience management. Given the severity and frequency of ransomware attacks targeting healthcare data infrastructure, this is not a luxury; it is a fundamental operational necessity. This team should be structured to include threat intelligence capabilities, penetration testing expertise, and a formal incident response playbook that has been tested through regular simulations.</w:t>
      </w:r>
    </w:p>
    <w:p>
      <w:pPr>
        <w:spacing w:after="60" w:before="0"/>
      </w:pPr>
    </w:p>
    <w:p>
      <w:pPr>
        <w:pStyle w:val="Heading3"/>
        <w:spacing w:after="100" w:before="200"/>
      </w:pPr>
      <w:r>
        <w:rPr>
          <w:rFonts w:ascii="Arial" w:cs="Arial" w:eastAsia="Arial" w:hAnsi="Arial"/>
          <w:b/>
          <w:bCs/>
          <w:color w:val="595959"/>
          <w:sz w:val="23"/>
          <w:szCs w:val="23"/>
        </w:rPr>
        <w:t xml:space="preserve">2. Implement Comprehensive Cyber Ethics Training</w:t>
      </w:r>
    </w:p>
    <w:p>
      <w:pPr>
        <w:spacing w:after="120" w:before="80" w:line="276"/>
        <w:jc w:val="both"/>
      </w:pPr>
      <w:r>
        <w:rPr>
          <w:rFonts w:ascii="Arial" w:cs="Arial" w:eastAsia="Arial" w:hAnsi="Arial"/>
          <w:b w:val="false"/>
          <w:bCs w:val="false"/>
          <w:i w:val="false"/>
          <w:iCs w:val="false"/>
          <w:color w:val="000000"/>
          <w:sz w:val="22"/>
          <w:szCs w:val="22"/>
        </w:rPr>
        <w:t xml:space="preserve">Persivia should develop and deploy a formal, ongoing employee education program covering responsible AI use, healthcare data ethics, secure engineering practices, and ethical decision-making in data-sensitive environments. This training should be mandatory for all employees with access to patient data or AI development workflows, updated regularly to reflect evolving threats and ethical best practices, and complemented by a clear ethical reporting mechanism that employees can use to raise concerns without fear of professional retaliation.</w:t>
      </w:r>
    </w:p>
    <w:p>
      <w:pPr>
        <w:spacing w:after="60" w:before="0"/>
      </w:pPr>
    </w:p>
    <w:p>
      <w:pPr>
        <w:pStyle w:val="Heading3"/>
        <w:spacing w:after="100" w:before="200"/>
      </w:pPr>
      <w:r>
        <w:rPr>
          <w:rFonts w:ascii="Arial" w:cs="Arial" w:eastAsia="Arial" w:hAnsi="Arial"/>
          <w:b/>
          <w:bCs/>
          <w:color w:val="595959"/>
          <w:sz w:val="23"/>
          <w:szCs w:val="23"/>
        </w:rPr>
        <w:t xml:space="preserve">3. Develop a Formal Algorithmic Fairness Auditing Framework</w:t>
      </w:r>
    </w:p>
    <w:p>
      <w:pPr>
        <w:spacing w:after="120" w:before="80" w:line="276"/>
        <w:jc w:val="both"/>
      </w:pPr>
      <w:r>
        <w:rPr>
          <w:rFonts w:ascii="Arial" w:cs="Arial" w:eastAsia="Arial" w:hAnsi="Arial"/>
          <w:b w:val="false"/>
          <w:bCs w:val="false"/>
          <w:i w:val="false"/>
          <w:iCs w:val="false"/>
          <w:color w:val="000000"/>
          <w:sz w:val="22"/>
          <w:szCs w:val="22"/>
        </w:rPr>
        <w:t xml:space="preserve">Persivia should implement a structured program for evaluating its AI models for demographic bias, clinical equity, and predictive accuracy across diverse patient populations. This framework should include regular disparate impact analyses, systematic monitoring of model performance across racial, ethnic, and socioeconomic subgroups, and a defined process for investigating and addressing identified disparities. The results of fairness audits should be documented and made available to client institutions as part of the company's commitment to algorithmic accountability.</w:t>
      </w:r>
    </w:p>
    <w:p>
      <w:pPr>
        <w:spacing w:after="60" w:before="0"/>
      </w:pPr>
    </w:p>
    <w:p>
      <w:pPr>
        <w:pStyle w:val="Heading3"/>
        <w:spacing w:after="100" w:before="200"/>
      </w:pPr>
      <w:r>
        <w:rPr>
          <w:rFonts w:ascii="Arial" w:cs="Arial" w:eastAsia="Arial" w:hAnsi="Arial"/>
          <w:b/>
          <w:bCs/>
          <w:color w:val="595959"/>
          <w:sz w:val="23"/>
          <w:szCs w:val="23"/>
        </w:rPr>
        <w:t xml:space="preserve">4. Improve Transparency Practices</w:t>
      </w:r>
    </w:p>
    <w:p>
      <w:pPr>
        <w:spacing w:after="120" w:before="80" w:line="276"/>
        <w:jc w:val="both"/>
      </w:pPr>
      <w:r>
        <w:rPr>
          <w:rFonts w:ascii="Arial" w:cs="Arial" w:eastAsia="Arial" w:hAnsi="Arial"/>
          <w:b w:val="false"/>
          <w:bCs w:val="false"/>
          <w:i w:val="false"/>
          <w:iCs w:val="false"/>
          <w:color w:val="000000"/>
          <w:sz w:val="22"/>
          <w:szCs w:val="22"/>
        </w:rPr>
        <w:t xml:space="preserve">Persivia should invest in developing and publishing a formal statement of its ethical AI principles, including clear explanations of how its AI models are designed, trained, validated, and monitored. This transparency initiative should extend to client institutions through regular reporting on system performance, known limitations, and ongoing improvement activities. Building a reputation for principled transparency is not only ethically appropriate; it is also a meaningful competitive differentiator in an industry where institutional trust is a prerequisite for market success.</w:t>
      </w:r>
    </w:p>
    <w:p>
      <w:pPr>
        <w:spacing w:after="60" w:before="0"/>
      </w:pPr>
    </w:p>
    <w:p>
      <w:pPr>
        <w:pStyle w:val="Heading3"/>
        <w:spacing w:after="100" w:before="200"/>
      </w:pPr>
      <w:r>
        <w:rPr>
          <w:rFonts w:ascii="Arial" w:cs="Arial" w:eastAsia="Arial" w:hAnsi="Arial"/>
          <w:b/>
          <w:bCs/>
          <w:color w:val="595959"/>
          <w:sz w:val="23"/>
          <w:szCs w:val="23"/>
        </w:rPr>
        <w:t xml:space="preserve">5. Establish Formal Whistleblower and Ethical Reporting Channels</w:t>
      </w:r>
    </w:p>
    <w:p>
      <w:pPr>
        <w:spacing w:after="120" w:before="80" w:line="276"/>
        <w:jc w:val="both"/>
      </w:pPr>
      <w:r>
        <w:rPr>
          <w:rFonts w:ascii="Arial" w:cs="Arial" w:eastAsia="Arial" w:hAnsi="Arial"/>
          <w:b w:val="false"/>
          <w:bCs w:val="false"/>
          <w:i w:val="false"/>
          <w:iCs w:val="false"/>
          <w:color w:val="000000"/>
          <w:sz w:val="22"/>
          <w:szCs w:val="22"/>
        </w:rPr>
        <w:t xml:space="preserve">Secure, protected reporting channels should be established to allow employees to safely flag ethical concerns, security vulnerabilities, or potential data misuse risks without fear of professional retaliation. The existence of these channels should be communicated clearly to all employees, and the organization should demonstrate through consistent leadership behavior that ethical concerns raised through these channels are taken seriously and addressed promptly.</w:t>
      </w:r>
    </w:p>
    <w:p>
      <w:pPr>
        <w:spacing w:after="60" w:before="0"/>
      </w:pPr>
    </w:p>
    <w:p>
      <w:pPr>
        <w:pStyle w:val="Heading3"/>
        <w:spacing w:after="100" w:before="200"/>
      </w:pPr>
      <w:r>
        <w:rPr>
          <w:rFonts w:ascii="Arial" w:cs="Arial" w:eastAsia="Arial" w:hAnsi="Arial"/>
          <w:b/>
          <w:bCs/>
          <w:color w:val="595959"/>
          <w:sz w:val="23"/>
          <w:szCs w:val="23"/>
        </w:rPr>
        <w:t xml:space="preserve">6. Strengthen Patient-Centered Consent and Data Governance</w:t>
      </w:r>
    </w:p>
    <w:p>
      <w:pPr>
        <w:spacing w:after="120" w:before="80" w:line="276"/>
        <w:jc w:val="both"/>
      </w:pPr>
      <w:r>
        <w:rPr>
          <w:rFonts w:ascii="Arial" w:cs="Arial" w:eastAsia="Arial" w:hAnsi="Arial"/>
          <w:b w:val="false"/>
          <w:bCs w:val="false"/>
          <w:i w:val="false"/>
          <w:iCs w:val="false"/>
          <w:color w:val="000000"/>
          <w:sz w:val="22"/>
          <w:szCs w:val="22"/>
        </w:rPr>
        <w:t xml:space="preserve">While patient consent is legally managed through client healthcare organizations, Persivia has an ethical opportunity, and arguably an ethical obligation, to actively advocate for and support more robust patient-centered data governance practices across its client base. This might include developing standardized consent language templates that accurately describe Persivia's data processing activities, publishing patient-facing transparency documentation that explains how the platform uses patient data, and establishing a Patient Data Advisory mechanism through which patient perspectives can inform the company's data governance evolution.</w:t>
      </w:r>
    </w:p>
    <w:p>
      <w:r>
        <w:br/>
      </w:r>
    </w:p>
    <w:p>
      <w:pPr>
        <w:pStyle w:val="Heading1"/>
        <w:spacing w:after="200" w:before="360"/>
      </w:pPr>
      <w:r>
        <w:rPr>
          <w:rFonts w:ascii="Arial" w:cs="Arial" w:eastAsia="Arial" w:hAnsi="Arial"/>
          <w:b/>
          <w:bCs/>
          <w:color w:val="1F3864"/>
          <w:sz w:val="32"/>
          <w:szCs w:val="32"/>
        </w:rPr>
        <w:t xml:space="preserve">10. Community Service Report (CSR)</w:t>
      </w:r>
    </w:p>
    <w:p>
      <w:pPr>
        <w:pBdr>
          <w:bottom w:val="single" w:color="2E75B6" w:sz="6" w:space="1"/>
        </w:pBdr>
        <w:spacing w:after="120" w:before="120"/>
      </w:pPr>
    </w:p>
    <w:p>
      <w:pPr>
        <w:spacing w:after="200" w:before="100"/>
        <w:jc w:val="center"/>
      </w:pPr>
      <w:r>
        <w:rPr>
          <w:rFonts w:ascii="Arial" w:cs="Arial" w:eastAsia="Arial" w:hAnsi="Arial"/>
          <w:b/>
          <w:bCs/>
          <w:i/>
          <w:iCs/>
          <w:color w:val="2E75B6"/>
          <w:sz w:val="24"/>
          <w:szCs w:val="24"/>
        </w:rPr>
        <w:t xml:space="preserve">Project Themes: SDG-13 (Climate Action) &amp; SDG-4 (Quality Education)</w:t>
      </w:r>
    </w:p>
    <w:p>
      <w:pPr>
        <w:spacing w:after="200" w:before="0"/>
        <w:jc w:val="center"/>
      </w:pPr>
      <w:r>
        <w:rPr>
          <w:rFonts w:ascii="Arial" w:cs="Arial" w:eastAsia="Arial" w:hAnsi="Arial"/>
          <w:i/>
          <w:iCs/>
          <w:color w:val="595959"/>
          <w:sz w:val="22"/>
          <w:szCs w:val="22"/>
        </w:rPr>
        <w:t xml:space="preserve">Team Members: Usman Ali, Saad Mughal, Khadijah Zahoor</w:t>
      </w:r>
    </w:p>
    <w:p>
      <w:pPr>
        <w:pStyle w:val="Heading2"/>
        <w:spacing w:after="140" w:before="280"/>
      </w:pPr>
      <w:r>
        <w:rPr>
          <w:rFonts w:ascii="Arial" w:cs="Arial" w:eastAsia="Arial" w:hAnsi="Arial"/>
          <w:b/>
          <w:bCs/>
          <w:color w:val="2E75B6"/>
          <w:sz w:val="26"/>
          <w:szCs w:val="26"/>
        </w:rPr>
        <w:t xml:space="preserve">10.1 Introduction to CSR Initiatives</w:t>
      </w:r>
    </w:p>
    <w:p>
      <w:pPr>
        <w:pBdr>
          <w:top w:val="single" w:color="B0B0B0" w:sz="6" w:space="4"/>
          <w:left w:val="single" w:color="B0B0B0" w:sz="6" w:space="4"/>
          <w:bottom w:val="single" w:color="B0B0B0" w:sz="6" w:space="4"/>
          <w:right w:val="single" w:color="B0B0B0" w:sz="6" w:space="4"/>
        </w:pBdr>
        <w:shd w:val="clear" w:color="auto" w:fill="F2F2F2"/>
        <w:spacing w:before="120" w:after="80"/>
        <w:jc w:val="center"/>
      </w:pPr>
      <w:r>
        <w:rPr>
          <w:rFonts w:ascii="Arial" w:hAnsi="Arial" w:cs="Arial"/>
          <w:color w:val="808080"/>
          <w:sz w:val="20"/>
          <w:szCs w:val="20"/>
          <w:i/>
        </w:rPr>
        <w:t xml:space="preserve">[ Image Placeholder ]</w:t>
      </w:r>
    </w:p>
    <w:p>
      <w:pPr>
        <w:spacing w:before="60" w:after="160"/>
        <w:jc w:val="center"/>
      </w:pPr>
      <w:r>
        <w:rPr>
          <w:rFonts w:ascii="Arial" w:hAnsi="Arial" w:cs="Arial"/>
          <w:color w:val="404040"/>
          <w:sz w:val="18"/>
          <w:szCs w:val="18"/>
          <w:i/>
        </w:rPr>
        <w:t xml:space="preserve">Figure 8: CSR Initiative Overview – Community engagement activities</w:t>
      </w:r>
    </w:p>
    <w:p>
      <w:pPr>
        <w:pBdr>
          <w:top w:val="single" w:color="B0B0B0" w:sz="6" w:space="4"/>
          <w:left w:val="single" w:color="B0B0B0" w:sz="6" w:space="4"/>
          <w:bottom w:val="single" w:color="B0B0B0" w:sz="6" w:space="4"/>
          <w:right w:val="single" w:color="B0B0B0" w:sz="6" w:space="4"/>
        </w:pBdr>
        <w:shd w:val="clear" w:color="auto" w:fill="F2F2F2"/>
        <w:spacing w:before="120" w:after="80"/>
        <w:jc w:val="center"/>
      </w:pPr>
      <w:r>
        <w:rPr>
          <w:rFonts w:ascii="Arial" w:hAnsi="Arial" w:cs="Arial"/>
          <w:color w:val="808080"/>
          <w:sz w:val="20"/>
          <w:szCs w:val="20"/>
          <w:i/>
        </w:rPr>
        <w:t xml:space="preserve">[ Image Placeholder ]</w:t>
      </w:r>
    </w:p>
    <w:p>
      <w:pPr>
        <w:spacing w:before="60" w:after="160"/>
        <w:jc w:val="center"/>
      </w:pPr>
      <w:r>
        <w:rPr>
          <w:rFonts w:ascii="Arial" w:hAnsi="Arial" w:cs="Arial"/>
          <w:color w:val="404040"/>
          <w:sz w:val="18"/>
          <w:szCs w:val="18"/>
          <w:i/>
        </w:rPr>
        <w:t xml:space="preserve">Figure 9: CSR Initiative Overview – Group participation and impact</w:t>
      </w:r>
    </w:p>
    <w:p>
      <w:pPr>
        <w:spacing w:after="120" w:before="80" w:line="276"/>
        <w:jc w:val="both"/>
      </w:pPr>
      <w:r>
        <w:rPr>
          <w:rFonts w:ascii="Arial" w:cs="Arial" w:eastAsia="Arial" w:hAnsi="Arial"/>
          <w:b w:val="false"/>
          <w:bCs w:val="false"/>
          <w:i w:val="false"/>
          <w:iCs w:val="false"/>
          <w:color w:val="000000"/>
          <w:sz w:val="22"/>
          <w:szCs w:val="22"/>
        </w:rPr>
        <w:t xml:space="preserve">Community service occupies a central place in the Professional Practices course framework, grounded in the recognition that professional development cannot be reduced to technical skill acquisition alone. A complete professional is distinguished not only by what they know or what they can build, but by the degree to which they are willing to apply their capabilities, resources, and energy in service of the communities they inhabit. The course mandate to undertake structured community service activities thus reflects a fundamental educational philosophy: that the boundaries of professional responsibility extend beyond the workplace and into the social fabric of the communities that professional activity ultimately exists to serve.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Our group approached this mandate with deliberate intentionality, seeking not merely to fulfill a course requirement but to design and execute community service activities that would generate genuine, measurable positive impact while providing meaningful personal and professional learning experiences. After careful deliberation, we decided to pursue a dual-initiative approach, dividing our collective efforts across two distinct community service projects, each aligned with a specific United Nations Sustainable Development Goal. This strategic choice allowed us to address two critical domains of societal need simultaneously: the empowerment of young learners through quality education support, and the protection of the local environment through direct climate action.</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selection of these two SDGs was not arbitrary. SDG 4: Quality Education, was chosen because access to quality primary education remains deeply unequal in Pakistan, with millions of children from underprivileged backgrounds lacking access to the educational resources and engaging learning environments that wealthier communities take for granted. SDG 13: Climate Action, was chosen because Pakistan is widely recognized as one of the countries most acutely vulnerable to the consequences of climate change, experiencing increasingly severe heatwaves, altered monsoon patterns, flooding, and urban air quality degradation that disproportionately harm its most vulnerable populations. Both SDGs thus represent not abstract global priorities but immediate, pressing local needs with direct relevance to the lives of people in Lahore.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following sections provide a comprehensive, detailed account of each initiative, including the planning process, resource mobilization, execution of activities, observed outcomes, and the personal and professional learning that emerged from each experience. Together, these accounts demonstrate that meaningful community impact is achievable through thoughtful planning, genuine personal commitment, and the willingness to invest time, energy, and resources in causes that transcend individual self-interest.</w:t>
      </w:r>
    </w:p>
    <w:p>
      <w:pPr>
        <w:pStyle w:val="Heading2"/>
        <w:spacing w:after="140" w:before="280"/>
      </w:pPr>
      <w:r>
        <w:rPr>
          <w:rFonts w:ascii="Arial" w:cs="Arial" w:eastAsia="Arial" w:hAnsi="Arial"/>
          <w:b/>
          <w:bCs/>
          <w:color w:val="2E75B6"/>
          <w:sz w:val="26"/>
          <w:szCs w:val="26"/>
        </w:rPr>
        <w:t xml:space="preserve">10.2 Initiative 1: SDG 4: Quality Education (Khadijah Zahoor)</w:t>
      </w:r>
    </w:p>
    <w:p>
      <w:pPr>
        <w:pBdr>
          <w:top w:val="single" w:color="B0B0B0" w:sz="6" w:space="4"/>
          <w:left w:val="single" w:color="B0B0B0" w:sz="6" w:space="4"/>
          <w:bottom w:val="single" w:color="B0B0B0" w:sz="6" w:space="4"/>
          <w:right w:val="single" w:color="B0B0B0" w:sz="6" w:space="4"/>
        </w:pBdr>
        <w:shd w:val="clear" w:color="auto" w:fill="F2F2F2"/>
        <w:spacing w:before="120" w:after="80"/>
        <w:jc w:val="center"/>
      </w:pPr>
      <w:r>
        <w:rPr>
          <w:rFonts w:ascii="Arial" w:hAnsi="Arial" w:cs="Arial"/>
          <w:color w:val="808080"/>
          <w:sz w:val="20"/>
          <w:szCs w:val="20"/>
          <w:i/>
        </w:rPr>
        <w:t xml:space="preserve">[ Image Placeholder ]</w:t>
      </w:r>
    </w:p>
    <w:p>
      <w:pPr>
        <w:spacing w:before="60" w:after="160"/>
        <w:jc w:val="center"/>
      </w:pPr>
      <w:r>
        <w:rPr>
          <w:rFonts w:ascii="Arial" w:hAnsi="Arial" w:cs="Arial"/>
          <w:color w:val="404040"/>
          <w:sz w:val="18"/>
          <w:szCs w:val="18"/>
          <w:i/>
        </w:rPr>
        <w:t xml:space="preserve">Figure 12: SDG 4: Quality Education – Bake sale fundraiser event on campus</w:t>
      </w:r>
    </w:p>
    <w:p>
      <w:pPr>
        <w:pBdr>
          <w:top w:val="single" w:color="B0B0B0" w:sz="6" w:space="4"/>
          <w:left w:val="single" w:color="B0B0B0" w:sz="6" w:space="4"/>
          <w:bottom w:val="single" w:color="B0B0B0" w:sz="6" w:space="4"/>
          <w:right w:val="single" w:color="B0B0B0" w:sz="6" w:space="4"/>
        </w:pBdr>
        <w:shd w:val="clear" w:color="auto" w:fill="F2F2F2"/>
        <w:spacing w:before="120" w:after="80"/>
        <w:jc w:val="center"/>
      </w:pPr>
      <w:r>
        <w:rPr>
          <w:rFonts w:ascii="Arial" w:hAnsi="Arial" w:cs="Arial"/>
          <w:color w:val="808080"/>
          <w:sz w:val="20"/>
          <w:szCs w:val="20"/>
          <w:i/>
        </w:rPr>
        <w:t xml:space="preserve">[ Image Placeholder ]</w:t>
      </w:r>
    </w:p>
    <w:p>
      <w:pPr>
        <w:spacing w:before="60" w:after="160"/>
        <w:jc w:val="center"/>
      </w:pPr>
      <w:r>
        <w:rPr>
          <w:rFonts w:ascii="Arial" w:hAnsi="Arial" w:cs="Arial"/>
          <w:color w:val="404040"/>
          <w:sz w:val="18"/>
          <w:szCs w:val="18"/>
          <w:i/>
        </w:rPr>
        <w:t xml:space="preserve">Figure 13: SDG 4: Quality Education – Interactive visit to SOUL school, Bahria Town</w:t>
      </w:r>
    </w:p>
    <w:p>
      <w:pPr>
        <w:pStyle w:val="Heading3"/>
        <w:spacing w:after="100" w:before="200"/>
      </w:pPr>
      <w:r>
        <w:rPr>
          <w:rFonts w:ascii="Arial" w:cs="Arial" w:eastAsia="Arial" w:hAnsi="Arial"/>
          <w:b/>
          <w:bCs/>
          <w:color w:val="595959"/>
          <w:sz w:val="23"/>
          <w:szCs w:val="23"/>
        </w:rPr>
        <w:t xml:space="preserve">10.2.1 Context and Rationale</w:t>
      </w:r>
    </w:p>
    <w:p>
      <w:pPr>
        <w:spacing w:after="120" w:before="80" w:line="276"/>
        <w:jc w:val="both"/>
      </w:pPr>
      <w:r>
        <w:rPr>
          <w:rFonts w:ascii="Arial" w:cs="Arial" w:eastAsia="Arial" w:hAnsi="Arial"/>
          <w:b w:val="false"/>
          <w:bCs w:val="false"/>
          <w:i w:val="false"/>
          <w:iCs w:val="false"/>
          <w:color w:val="000000"/>
          <w:sz w:val="22"/>
          <w:szCs w:val="22"/>
        </w:rPr>
        <w:t xml:space="preserve">Pakistan's primary education sector is characterized by a deeply uneven landscape of opportunity. According to the United Nations Educational, Scientific and Cultural Organization (UNESCO), millions of school-age children in Pakistan remain either out of school entirely or enrolled in educational institutions that lack the resources, trained teachers, and physical infrastructure necessary to provide genuinely quality learning experiences. This educational deprivation has cascading consequences: children who do not receive quality primary education are significantly more likely to experience poverty, social marginalization, and limited life opportunities as adults, perpetuating cycles of disadvantage across generations.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Non-profit educational institutions that serve underprivileged communities play a critical role in bridging this gap, providing educational access to children who would otherwise have none. However, these institutions routinely operate under severe financial constraints, dependent on donations, grants, and volunteer support to fund the basic resources, including teaching materials, furniture, supplies, and infrastructure maintenance, that enable effective education. The decision to support one such institution through fundraising and direct engagement reflects a recognition that meaningful educational support requires both financial resources and human connection.</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specific institution selected for support was the School of Ultimate Learning (SOUL), located in Bahria Town, Lahore, identified as a well-regarded non-profit educational institution serving primary-grade students from economically disadvantaged backgrounds. SOUL's model of providing structured, caring, and high-quality primary education to children who would otherwise lack access to it made it an ideal partner for this initiative. The school's dedicated staff, evident commitment to their students' holistic development, and genuine need for external support made it both a worthy recipient and an inspiring example of what community-based educational institutions can achieve with adequate resources and support.</w:t>
      </w:r>
    </w:p>
    <w:p>
      <w:pPr>
        <w:pStyle w:val="Heading3"/>
        <w:spacing w:after="100" w:before="200"/>
      </w:pPr>
      <w:r>
        <w:rPr>
          <w:rFonts w:ascii="Arial" w:cs="Arial" w:eastAsia="Arial" w:hAnsi="Arial"/>
          <w:b/>
          <w:bCs/>
          <w:color w:val="595959"/>
          <w:sz w:val="23"/>
          <w:szCs w:val="23"/>
        </w:rPr>
        <w:t xml:space="preserve">10.2.2 Planning and Resource Mobilization</w:t>
      </w:r>
    </w:p>
    <w:p>
      <w:pPr>
        <w:spacing w:after="120" w:before="80" w:line="276"/>
        <w:jc w:val="both"/>
      </w:pPr>
      <w:r>
        <w:rPr>
          <w:rFonts w:ascii="Arial" w:cs="Arial" w:eastAsia="Arial" w:hAnsi="Arial"/>
          <w:b w:val="false"/>
          <w:bCs w:val="false"/>
          <w:i w:val="false"/>
          <w:iCs w:val="false"/>
          <w:color w:val="000000"/>
          <w:sz w:val="22"/>
          <w:szCs w:val="22"/>
        </w:rPr>
        <w:t xml:space="preserve">The planning process for the SDG 4 initiative was both meticulous and multifaceted. Khadijah began by establishing communication with SOUL's administration to understand the institution's specific needs, confirm the appropriateness of a financial donation, and arrange the logistics of the subsequent in-person visit. This preliminary engagement was important not only for practical planning purposes but for establishing a relationship of mutual respect and genuine partnership rather than a transactional donor-recipient dynamic.</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With the partnership confirmed, the central challenge became fundraising. The chosen mechanism, a campus-wide bake sale, was selected for several strategic reasons. First, it is a highly accessible fundraising format that requires no complex infrastructure or significant upfront capital investment. Second, it directly engages the student and faculty community of the university in the initiative, transforming potential passive supporters into active participants in the fundraising effort. Third, it provides an opportunity to raise awareness about the educational needs of underprivileged children within the university community, extending the initiative's educational impact beyond the children at SOUL to encompass a broader conversation about educational equity.</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preparation of the bake sale involved careful planning across multiple dimensions. On the product side, a diverse selection of baked goods was prepared, designed to appeal to a broad range of tastes and preferences within the university community. On the marketing side, awareness was generated among fellow students and faculty members through direct outreach, social communication channels, and word-of-mouth engagement, ensuring strong awareness and foot traffic at the sale. On the financial management side, all proceeds were carefully tracked and maintained strictly separate from personal funds, ensuring complete financial accountability and the integrity of the donation process.</w:t>
      </w:r>
    </w:p>
    <w:p>
      <w:pPr>
        <w:pStyle w:val="Heading3"/>
        <w:spacing w:after="100" w:before="200"/>
      </w:pPr>
      <w:r>
        <w:rPr>
          <w:rFonts w:ascii="Arial" w:cs="Arial" w:eastAsia="Arial" w:hAnsi="Arial"/>
          <w:b/>
          <w:bCs/>
          <w:color w:val="595959"/>
          <w:sz w:val="23"/>
          <w:szCs w:val="23"/>
        </w:rPr>
        <w:t xml:space="preserve">10.2.3 Execution of the Bake Sale</w:t>
      </w:r>
    </w:p>
    <w:p>
      <w:pPr>
        <w:spacing w:after="120" w:before="80" w:line="276"/>
        <w:jc w:val="both"/>
      </w:pPr>
      <w:r>
        <w:rPr>
          <w:rFonts w:ascii="Arial" w:cs="Arial" w:eastAsia="Arial" w:hAnsi="Arial"/>
          <w:b w:val="false"/>
          <w:bCs w:val="false"/>
          <w:i w:val="false"/>
          <w:iCs w:val="false"/>
          <w:color w:val="000000"/>
          <w:sz w:val="22"/>
          <w:szCs w:val="22"/>
        </w:rPr>
        <w:t xml:space="preserve">The bake sale was conducted on the university campus on a day chosen to maximize student and faculty traffic. The event attracted significant positive engagement from the university community, reflecting both genuine interest in the cause and the quality of the baked goods on offer. Fellow students and faculty members who were informed of the charitable purpose of the sale demonstrated enthusiastic support, with many choosing to contribute generously beyond the simple price of their selected items.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success of the bake sale as a fundraising mechanism exceeded initial expectations, generating the full target funding amount within the timeframe of the event. This outcome validated the strategic logic of the community-engagement fundraising approach and demonstrated that the university community was genuinely willing to mobilize in support of causes they found meaningful and urgent. The achievement of the fundraising target created the material conditions necessary for the full realization of the initiative, including both the financial donation to SOUL and the in-person visit to the school.</w:t>
      </w:r>
    </w:p>
    <w:p>
      <w:pPr>
        <w:pStyle w:val="Heading3"/>
        <w:spacing w:after="100" w:before="200"/>
      </w:pPr>
      <w:r>
        <w:rPr>
          <w:rFonts w:ascii="Arial" w:cs="Arial" w:eastAsia="Arial" w:hAnsi="Arial"/>
          <w:b/>
          <w:bCs/>
          <w:color w:val="595959"/>
          <w:sz w:val="23"/>
          <w:szCs w:val="23"/>
        </w:rPr>
        <w:t xml:space="preserve">10.2.4 Visit to SOUL: School of Ultimate Learning</w:t>
      </w:r>
    </w:p>
    <w:p>
      <w:pPr>
        <w:spacing w:after="120" w:before="80" w:line="276"/>
        <w:jc w:val="both"/>
      </w:pPr>
      <w:r>
        <w:rPr>
          <w:rFonts w:ascii="Arial" w:cs="Arial" w:eastAsia="Arial" w:hAnsi="Arial"/>
          <w:b w:val="false"/>
          <w:bCs w:val="false"/>
          <w:i w:val="false"/>
          <w:iCs w:val="false"/>
          <w:color w:val="000000"/>
          <w:sz w:val="22"/>
          <w:szCs w:val="22"/>
        </w:rPr>
        <w:t xml:space="preserve">Following the successful completion of the fundraising campaign, the collected proceeds were donated in their entirety to SOUL, and an in-person visit to the school was organized and executed. The visit began with a warm welcome from the school's administrative and teaching staff, who expressed genuine gratitude for the donation and created an immediate atmosphere of warmth and mutual respect. This welcoming environment was significant because it established the emotional and relational foundation for productive, meaningful interactions with the students, which was the ultimate purpose of the visit.</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visit was structured into two distinct activity phases, designed in deliberate sequence to optimize the educational and emotional experience for the children. The first phase centered on an interactive educational activity crafted to stimulate curiosity, active engagement, and learning. Rather than adopting a conventional lecture-style instructional format, the activity was designed to be participatory and exploratory, inviting students to engage actively with new ideas and to express their own perspectives and knowledge. This approach reflects an understanding that effective educational engagement, particularly with young learners, is characterized by active participation, discovery-based learning, and the creation of safe, encouraging environments where children feel comfortable expressing themselves without fear of judgment.</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second phase of the visit introduced a fun, interactive activity specifically designed to create joy, laughter, and a sense of playful community among the children. This deliberate inclusion of play within the visit reflected an important insight about educational wellbeing: children who associate learning environments with positive emotional experiences develop healthier relationships with education, are more likely to remain engaged and motivated learners, and benefit from the psychosocial development that structured play facilitates. For children whose daily lives may involve significant economic hardship, the experience of uninhibited joy, playful creativity, and genuine personal attention from older students carries an intrinsic value that extends far beyond the specific activity itself.</w:t>
      </w:r>
    </w:p>
    <w:p>
      <w:pPr>
        <w:pStyle w:val="Heading3"/>
        <w:spacing w:after="100" w:before="200"/>
      </w:pPr>
      <w:r>
        <w:rPr>
          <w:rFonts w:ascii="Arial" w:cs="Arial" w:eastAsia="Arial" w:hAnsi="Arial"/>
          <w:b/>
          <w:bCs/>
          <w:color w:val="595959"/>
          <w:sz w:val="23"/>
          <w:szCs w:val="23"/>
        </w:rPr>
        <w:t xml:space="preserve">10.2.5 Observed Impact and Outcomes</w:t>
      </w:r>
    </w:p>
    <w:p>
      <w:pPr>
        <w:spacing w:after="120" w:before="80" w:line="276"/>
        <w:jc w:val="both"/>
      </w:pPr>
      <w:r>
        <w:rPr>
          <w:rFonts w:ascii="Arial" w:cs="Arial" w:eastAsia="Arial" w:hAnsi="Arial"/>
          <w:b w:val="false"/>
          <w:bCs w:val="false"/>
          <w:i w:val="false"/>
          <w:iCs w:val="false"/>
          <w:color w:val="000000"/>
          <w:sz w:val="22"/>
          <w:szCs w:val="22"/>
        </w:rPr>
        <w:t xml:space="preserve">The impact of the SOUL visit was observable across multiple dimensions, both within the children's experience and within our own. Among the children, the visit generated visible and sustained increases in engagement, happiness, and willingness to participate. Children who began the visit somewhat reserved became progressively more animated, expressive, and enthusiastically involved as the activities progressed. Several children demonstrated notable curiosity and intellectual engagement during the educational activity phase, asking thoughtful questions and demonstrating the kind of active learning disposition that quality educational environments cultivate. The joy visible during the play activity phase was genuinely moving, serving as a reminder of the profound capacity for happiness that children possess when provided with safe, caring, and enriching environments.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financial donation, while modest in absolute terms, provides SOUL with resources that translate directly into improved learning materials, operational stability, and the ability to maintain the quality of educational provision for their students. Non-profit educational institutions often operate with such narrow financial margins that even small donations can have disproportionately significant operational impact, enabling the purchase of textbooks, writing materials, or classroom supplies that make a genuine difference to the daily educational experience of the children they serve.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For Khadijah personally, the experience delivered a form of understanding that no classroom instruction could replicate. Engaging directly with children whose life circumstances are defined by economic constraints that limit their access to educational opportunities that others take for granted transforms the concept of educational equity from an abstract policy objective into a lived human reality. This transformation of abstract understanding into embodied empathy is one of the core learning outcomes that community service activities are uniquely positioned to provide, and it carries implications for how one approaches professional practice in any domain where decisions affect people who may not have a voice in those decisions.</w:t>
      </w:r>
    </w:p>
    <w:p>
      <w:pPr>
        <w:pStyle w:val="Heading2"/>
        <w:spacing w:after="140" w:before="280"/>
      </w:pPr>
      <w:r>
        <w:rPr>
          <w:rFonts w:ascii="Arial" w:cs="Arial" w:eastAsia="Arial" w:hAnsi="Arial"/>
          <w:b/>
          <w:bCs/>
          <w:color w:val="2E75B6"/>
          <w:sz w:val="26"/>
          <w:szCs w:val="26"/>
        </w:rPr>
        <w:t xml:space="preserve">10.3 Initiative 2: SDG 13: Climate Action (Usman Ali &amp; Saad Mughal)</w:t>
      </w:r>
    </w:p>
    <w:p>
      <w:pPr>
        <w:pBdr>
          <w:top w:val="single" w:color="B0B0B0" w:sz="6" w:space="4"/>
          <w:left w:val="single" w:color="B0B0B0" w:sz="6" w:space="4"/>
          <w:bottom w:val="single" w:color="B0B0B0" w:sz="6" w:space="4"/>
          <w:right w:val="single" w:color="B0B0B0" w:sz="6" w:space="4"/>
        </w:pBdr>
        <w:shd w:val="clear" w:color="auto" w:fill="F2F2F2"/>
        <w:spacing w:before="120" w:after="80"/>
        <w:jc w:val="center"/>
      </w:pPr>
      <w:r>
        <w:rPr>
          <w:rFonts w:ascii="Arial" w:hAnsi="Arial" w:cs="Arial"/>
          <w:color w:val="808080"/>
          <w:sz w:val="20"/>
          <w:szCs w:val="20"/>
          <w:i/>
        </w:rPr>
        <w:t xml:space="preserve">[ Image Placeholder ]</w:t>
      </w:r>
    </w:p>
    <w:p>
      <w:pPr>
        <w:spacing w:before="60" w:after="160"/>
        <w:jc w:val="center"/>
      </w:pPr>
      <w:r>
        <w:rPr>
          <w:rFonts w:ascii="Arial" w:hAnsi="Arial" w:cs="Arial"/>
          <w:color w:val="404040"/>
          <w:sz w:val="18"/>
          <w:szCs w:val="18"/>
          <w:i/>
        </w:rPr>
        <w:t xml:space="preserve">Figure 14: SDG 13: Climate Action – Tree plantation drive in progress on campus</w:t>
      </w:r>
    </w:p>
    <w:p>
      <w:pPr>
        <w:pBdr>
          <w:top w:val="single" w:color="B0B0B0" w:sz="6" w:space="4"/>
          <w:left w:val="single" w:color="B0B0B0" w:sz="6" w:space="4"/>
          <w:bottom w:val="single" w:color="B0B0B0" w:sz="6" w:space="4"/>
          <w:right w:val="single" w:color="B0B0B0" w:sz="6" w:space="4"/>
        </w:pBdr>
        <w:shd w:val="clear" w:color="auto" w:fill="F2F2F2"/>
        <w:spacing w:before="120" w:after="80"/>
        <w:jc w:val="center"/>
      </w:pPr>
      <w:r>
        <w:rPr>
          <w:rFonts w:ascii="Arial" w:hAnsi="Arial" w:cs="Arial"/>
          <w:color w:val="808080"/>
          <w:sz w:val="20"/>
          <w:szCs w:val="20"/>
          <w:i/>
        </w:rPr>
        <w:t xml:space="preserve">[ Image Placeholder ]</w:t>
      </w:r>
    </w:p>
    <w:p>
      <w:pPr>
        <w:spacing w:before="60" w:after="160"/>
        <w:jc w:val="center"/>
      </w:pPr>
      <w:r>
        <w:rPr>
          <w:rFonts w:ascii="Arial" w:hAnsi="Arial" w:cs="Arial"/>
          <w:color w:val="404040"/>
          <w:sz w:val="18"/>
          <w:szCs w:val="18"/>
          <w:i/>
        </w:rPr>
        <w:t xml:space="preserve">Figure 15: SDG 13: Climate Action – Volunteer students planting saplings with Lahore Conservation Society</w:t>
      </w:r>
    </w:p>
    <w:p>
      <w:pPr>
        <w:pStyle w:val="Heading3"/>
        <w:spacing w:after="100" w:before="200"/>
      </w:pPr>
      <w:r>
        <w:rPr>
          <w:rFonts w:ascii="Arial" w:cs="Arial" w:eastAsia="Arial" w:hAnsi="Arial"/>
          <w:b/>
          <w:bCs/>
          <w:color w:val="595959"/>
          <w:sz w:val="23"/>
          <w:szCs w:val="23"/>
        </w:rPr>
        <w:t xml:space="preserve">10.3.1 Context and Rationale</w:t>
      </w:r>
    </w:p>
    <w:p>
      <w:pPr>
        <w:spacing w:after="120" w:before="80" w:line="276"/>
        <w:jc w:val="both"/>
      </w:pPr>
      <w:r>
        <w:rPr>
          <w:rFonts w:ascii="Arial" w:cs="Arial" w:eastAsia="Arial" w:hAnsi="Arial"/>
          <w:b w:val="false"/>
          <w:bCs w:val="false"/>
          <w:i w:val="false"/>
          <w:iCs w:val="false"/>
          <w:color w:val="000000"/>
          <w:sz w:val="22"/>
          <w:szCs w:val="22"/>
        </w:rPr>
        <w:t xml:space="preserve">Pakistan ranks among the top ten countries globally most vulnerable to the impacts of climate change, despite being responsible for a relatively small share of global greenhouse gas emissions. This profound inequity, suffering severe climate consequences while contributing minimally to the underlying cause, makes climate action not merely a global environmental imperative but an urgent local justice issue for Pakistani citizens. The specific manifestations of climate change in Lahore and Punjab more broadly include escalating urban heat island effects, severely degraded air quality driven by particulate matter pollution, increasingly erratic and intense monsoon rainfall, prolonged droughts, and the long-term loss of green space through rapid urbanization that compounds all of these stressors.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Urban reforestation and tree plantation represent one of the most effective, evidence-based, and cost-accessible strategies available to local communities for mitigating these climate impacts. Trees provide multiple overlapping environmental services: they absorb carbon dioxide and other greenhouse gases through photosynthesis, actively improving air quality; they provide shade that moderates urban heat island effects, reducing local temperatures; they support urban biodiversity by providing habitat for insects, birds, and other wildlife; they improve soil health and reduce erosion; and they have well-documented positive effects on human psychological wellbeing and neighborhood quality of life. A well-executed urban tree plantation initiative thus represents genuine environmental action rather than symbolic gesture, particularly when the species selected are ecologically appropriate and are provided with adequate care to establish themselves successfully.</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decision by Usman and Saad to pursue a campus-wide tree plantation drive as their SDG 13 initiative reflected both an understanding of the genuine environmental impact of meaningful reforestation and a recognition that the university campus provided an ideal context for a community-mobilizing environmental initiative. The campus environment combines physical space suitable for tree planting with a community of potential participants, namely fellow students, whose engagement could amplify both the scale and the visibility of the initiative.</w:t>
      </w:r>
    </w:p>
    <w:p>
      <w:pPr>
        <w:pStyle w:val="Heading3"/>
        <w:spacing w:after="100" w:before="200"/>
      </w:pPr>
      <w:r>
        <w:rPr>
          <w:rFonts w:ascii="Arial" w:cs="Arial" w:eastAsia="Arial" w:hAnsi="Arial"/>
          <w:b/>
          <w:bCs/>
          <w:color w:val="595959"/>
          <w:sz w:val="23"/>
          <w:szCs w:val="23"/>
        </w:rPr>
        <w:t xml:space="preserve">10.3.2 Planning and Coordination</w:t>
      </w:r>
    </w:p>
    <w:p>
      <w:pPr>
        <w:spacing w:after="120" w:before="80" w:line="276"/>
        <w:jc w:val="both"/>
      </w:pPr>
      <w:r>
        <w:rPr>
          <w:rFonts w:ascii="Arial" w:cs="Arial" w:eastAsia="Arial" w:hAnsi="Arial"/>
          <w:b w:val="false"/>
          <w:bCs w:val="false"/>
          <w:i w:val="false"/>
          <w:iCs w:val="false"/>
          <w:color w:val="000000"/>
          <w:sz w:val="22"/>
          <w:szCs w:val="22"/>
        </w:rPr>
        <w:t xml:space="preserve">The planning process for the tree plantation drive involved multiple parallel workstreams that required careful coordination across several weeks preceding the event. The two most critical planning challenges were securing an adequate supply of suitable saplings and mobilizing a sufficient volunteer workforce among the student body to execute a planting initiative of meaningful scale.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sapling supply challenge was addressed through the establishment of a partnership with the Lahore Conservation Society, a non-governmental organization dedicated to environmental preservation and urban greening in Lahore. The decision to partner with an established environmental organization rather than attempting to procure saplings independently reflected strategic thinking about resource efficiency, ecological appropriateness, and network leverage. The Lahore Conservation Society brought not only the physical saplings but also expertise in species selection, planting protocols, and post-planting care requirements that significantly enhanced the probability of successful tree establishment.</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species selected for donation, which included Orange, Neem, Lemon, Flame, and Bottle Brush trees, were not chosen arbitrarily. Each species was selected for its combination of ecological appropriateness to the local climate and soil conditions, environmental benefit profile, and ease of establishment. Neem trees, for example, are native to the Indian subcontinent and are exceptionally well-adapted to the hot, semi-arid climate of Lahore, requiring minimal irrigation once established while providing dense shade, air quality benefits, and well-documented pest-control properties. Flame trees provide dramatic visual impact while establishing quickly in Lahore's climate. Fruit trees such as Orange and Lemon provide the additional benefit of food production, creating a direct tangible resource for the campus community alongside their environmental benefits.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volunteer mobilization effort involved active outreach to fellow students across multiple departments, leveraging social networks, personal relationships, and direct persuasion to build a volunteer workforce capable of planting over 200 saplings within the available timeframe. This mobilization effort was not merely logistically important; it was itself a meaningful form of environmental education and community engagement. Every student who was recruited to participate in the planting drive was provided with context about the environmental rationale for the initiative, the specific benefits of the chosen tree species, and the long-term impact that their few hours of physical effort would contribute to the campus ecosystem and the broader Lahore environment.</w:t>
      </w:r>
    </w:p>
    <w:p>
      <w:pPr>
        <w:pStyle w:val="Heading3"/>
        <w:spacing w:after="100" w:before="200"/>
      </w:pPr>
      <w:r>
        <w:rPr>
          <w:rFonts w:ascii="Arial" w:cs="Arial" w:eastAsia="Arial" w:hAnsi="Arial"/>
          <w:b/>
          <w:bCs/>
          <w:color w:val="595959"/>
          <w:sz w:val="23"/>
          <w:szCs w:val="23"/>
        </w:rPr>
        <w:t xml:space="preserve">10.3.3 Execution of the Tree Plantation Drive</w:t>
      </w:r>
    </w:p>
    <w:p>
      <w:pPr>
        <w:spacing w:after="120" w:before="80" w:line="276"/>
        <w:jc w:val="both"/>
      </w:pPr>
      <w:r>
        <w:rPr>
          <w:rFonts w:ascii="Arial" w:cs="Arial" w:eastAsia="Arial" w:hAnsi="Arial"/>
          <w:b w:val="false"/>
          <w:bCs w:val="false"/>
          <w:i w:val="false"/>
          <w:iCs w:val="false"/>
          <w:color w:val="000000"/>
          <w:sz w:val="22"/>
          <w:szCs w:val="22"/>
        </w:rPr>
        <w:t xml:space="preserve">The plantation drive was executed as a coordinated community event across the university campus, involving both the core initiative team and the recruited volunteer students. The event was organized to ensure that planting activities could proceed efficiently across multiple locations simultaneously, with Usman and Saad coordinating the distribution of saplings, planting tools, and teams to designated planting zones.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physical work of planting over 200 saplings is genuinely demanding, requiring soil preparation, appropriate depth measurement, careful positioning of each sapling to ensure healthy root establishment, and thorough initial watering to support survival through the critical early establishment period. The willingness of volunteers to invest this physical effort was itself a meaningful expression of environmental commitment and community solidarity. For many of the participating students, this may have been their first direct experience of environmental stewardship by physically placing a living organism into the earth with an understanding of the ecosystem services that organism will provide across a lifetime that may exceed their own.</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drive successfully resulted in the planting of more than 200 saplings across the campus grounds, representing a significant addition to the local tree canopy. The successful mobilization of student volunteers transformed what could have been a small-scale individual gesture into a genuine community environmental event, creating shared ownership of the initiative and its long-term outcomes among a broad cross-section of the university community.</w:t>
      </w:r>
    </w:p>
    <w:p>
      <w:pPr>
        <w:pStyle w:val="Heading3"/>
        <w:spacing w:after="100" w:before="200"/>
      </w:pPr>
      <w:r>
        <w:rPr>
          <w:rFonts w:ascii="Arial" w:cs="Arial" w:eastAsia="Arial" w:hAnsi="Arial"/>
          <w:b/>
          <w:bCs/>
          <w:color w:val="595959"/>
          <w:sz w:val="23"/>
          <w:szCs w:val="23"/>
        </w:rPr>
        <w:t xml:space="preserve">10.3.4 Post-Planting Commitment and Monitoring</w:t>
      </w:r>
    </w:p>
    <w:p>
      <w:pPr>
        <w:spacing w:after="120" w:before="80" w:line="276"/>
        <w:jc w:val="both"/>
      </w:pPr>
      <w:r>
        <w:rPr>
          <w:rFonts w:ascii="Arial" w:cs="Arial" w:eastAsia="Arial" w:hAnsi="Arial"/>
          <w:b w:val="false"/>
          <w:bCs w:val="false"/>
          <w:i w:val="false"/>
          <w:iCs w:val="false"/>
          <w:color w:val="000000"/>
          <w:sz w:val="22"/>
          <w:szCs w:val="22"/>
        </w:rPr>
        <w:t xml:space="preserve">A critically important dimension of the initiative that distinguishes it from a mere symbolic gesture is the team's ongoing commitment to monitoring the post-planting health and growth of the saplings. Tree plantation initiatives that do not incorporate adequate post-planting care have very high failure rates, as saplings that are not adequately watered, protected from damage, and monitored for early signs of disease or pest pressure frequently die within the first growing season, negating the environmental investment entirely.</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Saad took specific responsibility for monitoring the health of the newly planted saplings during the critical initial establishment period. This ongoing monitoring commitment transforms the initiative from a one-time event into a sustained environmental stewardship practice, a more demanding but also more genuinely impactful approach to community environmental action. The monitoring process also provides an opportunity for continued environmental education, as the observation of sapling growth and the challenges of establishment deepens practical understanding of urban tree ecology in ways that no classroom instruction can replicate.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long-term environmental impact of the initiative, while difficult to quantify precisely at this early stage, is genuinely significant. A mature Neem tree, for example, can sequester several tonnes of carbon dioxide over its lifetime while providing cooling shade across a substantial area, supporting local insect biodiversity, and improving air quality through particulate matter capture. Two hundred trees of diverse species, if successfully established, represent a meaningful contribution to the campus ecosystem and to the broader urban environmental health of Lahore.</w:t>
      </w:r>
    </w:p>
    <w:p>
      <w:pPr>
        <w:pStyle w:val="Heading3"/>
        <w:spacing w:after="100" w:before="200"/>
      </w:pPr>
      <w:r>
        <w:rPr>
          <w:rFonts w:ascii="Arial" w:cs="Arial" w:eastAsia="Arial" w:hAnsi="Arial"/>
          <w:b/>
          <w:bCs/>
          <w:color w:val="595959"/>
          <w:sz w:val="23"/>
          <w:szCs w:val="23"/>
        </w:rPr>
        <w:t xml:space="preserve">10.3.5 Community Mobilization and Educational Impact</w:t>
      </w:r>
    </w:p>
    <w:p>
      <w:pPr>
        <w:spacing w:after="120" w:before="80" w:line="276"/>
        <w:jc w:val="both"/>
      </w:pPr>
      <w:r>
        <w:rPr>
          <w:rFonts w:ascii="Arial" w:cs="Arial" w:eastAsia="Arial" w:hAnsi="Arial"/>
          <w:b w:val="false"/>
          <w:bCs w:val="false"/>
          <w:i w:val="false"/>
          <w:iCs w:val="false"/>
          <w:color w:val="000000"/>
          <w:sz w:val="22"/>
          <w:szCs w:val="22"/>
        </w:rPr>
        <w:t xml:space="preserve">One of the most valuable and perhaps underappreciated dimensions of the tree plantation initiative was its impact on environmental awareness and engagement within the broader university community. The process of recruiting volunteers, explaining the environmental rationale for the initiative, and creating a shared community experience of environmental action had educational and motivational effects that extended well beyond the physical act of planting.</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Students who participated in the planting drive were exposed to concrete, accessible information about the relationship between urban reforestation and climate mitigation, information that is increasingly important for all citizens as the impacts of climate change intensify. The experience of contributing physically and tangibly to an environmental improvement effort carries motivational power that passive environmental education cannot replicate: it demonstrates to participants that individual and collective action can produce real, visible, and lasting environmental change. This motivational outcome, specifically the cultivation of genuine environmental agency among young people, may ultimately be as significant as the direct environmental benefit of the trees planted.</w:t>
      </w:r>
    </w:p>
    <w:p>
      <w:pPr>
        <w:pStyle w:val="Heading2"/>
        <w:spacing w:after="140" w:before="280"/>
      </w:pPr>
      <w:r>
        <w:rPr>
          <w:rFonts w:ascii="Arial" w:cs="Arial" w:eastAsia="Arial" w:hAnsi="Arial"/>
          <w:b/>
          <w:bCs/>
          <w:color w:val="2E75B6"/>
          <w:sz w:val="26"/>
          <w:szCs w:val="26"/>
        </w:rPr>
        <w:t xml:space="preserve">10.4 CSR Learning Outcomes and Reflections</w:t>
      </w:r>
    </w:p>
    <w:p>
      <w:pPr>
        <w:pBdr>
          <w:top w:val="single" w:color="B0B0B0" w:sz="6" w:space="4"/>
          <w:left w:val="single" w:color="B0B0B0" w:sz="6" w:space="4"/>
          <w:bottom w:val="single" w:color="B0B0B0" w:sz="6" w:space="4"/>
          <w:right w:val="single" w:color="B0B0B0" w:sz="6" w:space="4"/>
        </w:pBdr>
        <w:shd w:val="clear" w:color="auto" w:fill="F2F2F2"/>
        <w:spacing w:before="120" w:after="80"/>
        <w:jc w:val="center"/>
      </w:pPr>
      <w:r>
        <w:rPr>
          <w:rFonts w:ascii="Arial" w:hAnsi="Arial" w:cs="Arial"/>
          <w:color w:val="808080"/>
          <w:sz w:val="20"/>
          <w:szCs w:val="20"/>
          <w:i/>
        </w:rPr>
        <w:t xml:space="preserve">[ Image Placeholder ]</w:t>
      </w:r>
    </w:p>
    <w:p>
      <w:pPr>
        <w:spacing w:before="60" w:after="160"/>
        <w:jc w:val="center"/>
      </w:pPr>
      <w:r>
        <w:rPr>
          <w:rFonts w:ascii="Arial" w:hAnsi="Arial" w:cs="Arial"/>
          <w:color w:val="404040"/>
          <w:sz w:val="18"/>
          <w:szCs w:val="18"/>
          <w:i/>
        </w:rPr>
        <w:t xml:space="preserve">Figure 10: CSR Reflection – Students and community members engaged in service</w:t>
      </w:r>
    </w:p>
    <w:p>
      <w:pPr>
        <w:pBdr>
          <w:top w:val="single" w:color="B0B0B0" w:sz="6" w:space="4"/>
          <w:left w:val="single" w:color="B0B0B0" w:sz="6" w:space="4"/>
          <w:bottom w:val="single" w:color="B0B0B0" w:sz="6" w:space="4"/>
          <w:right w:val="single" w:color="B0B0B0" w:sz="6" w:space="4"/>
        </w:pBdr>
        <w:shd w:val="clear" w:color="auto" w:fill="F2F2F2"/>
        <w:spacing w:before="120" w:after="80"/>
        <w:jc w:val="center"/>
      </w:pPr>
      <w:r>
        <w:rPr>
          <w:rFonts w:ascii="Arial" w:hAnsi="Arial" w:cs="Arial"/>
          <w:color w:val="808080"/>
          <w:sz w:val="20"/>
          <w:szCs w:val="20"/>
          <w:i/>
        </w:rPr>
        <w:t xml:space="preserve">[ Image Placeholder ]</w:t>
      </w:r>
    </w:p>
    <w:p>
      <w:pPr>
        <w:spacing w:before="60" w:after="160"/>
        <w:jc w:val="center"/>
      </w:pPr>
      <w:r>
        <w:rPr>
          <w:rFonts w:ascii="Arial" w:hAnsi="Arial" w:cs="Arial"/>
          <w:color w:val="404040"/>
          <w:sz w:val="18"/>
          <w:szCs w:val="18"/>
          <w:i/>
        </w:rPr>
        <w:t xml:space="preserve">Figure 11: CSR Reflection – Impact and outcomes of community initiatives</w:t>
      </w:r>
    </w:p>
    <w:p>
      <w:pPr>
        <w:pStyle w:val="Heading3"/>
        <w:spacing w:after="100" w:before="200"/>
      </w:pPr>
      <w:r>
        <w:rPr>
          <w:rFonts w:ascii="Arial" w:cs="Arial" w:eastAsia="Arial" w:hAnsi="Arial"/>
          <w:b/>
          <w:bCs/>
          <w:color w:val="595959"/>
          <w:sz w:val="23"/>
          <w:szCs w:val="23"/>
        </w:rPr>
        <w:t xml:space="preserve">10.4.1 Empathy, Direct Action, and Social Responsibility</w:t>
      </w:r>
    </w:p>
    <w:p>
      <w:pPr>
        <w:spacing w:after="120" w:before="80" w:line="276"/>
        <w:jc w:val="both"/>
      </w:pPr>
      <w:r>
        <w:rPr>
          <w:rFonts w:ascii="Arial" w:cs="Arial" w:eastAsia="Arial" w:hAnsi="Arial"/>
          <w:b w:val="false"/>
          <w:bCs w:val="false"/>
          <w:i w:val="false"/>
          <w:iCs w:val="false"/>
          <w:color w:val="000000"/>
          <w:sz w:val="22"/>
          <w:szCs w:val="22"/>
        </w:rPr>
        <w:t xml:space="preserve">Community service is often described in terms of its benefit to the recipients of that service, including the children who received support at SOUL, the campus ecosystem enriched by 200+ new trees. These benefits are genuine and significant. However, a complete account of the value of community service must also acknowledge its transformative impact on the participants themselves.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direct personal engagement that both initiatives required, including the face-to-face interaction with primary school children at SOUL and the physical labor of planting trees alongside fellow students, produces a quality of understanding and emotional connection that no amount of passive learning can approximate. When Khadijah sat with the children at SOUL, she was not merely fulfilling a course requirement; she was encountering the human reality of educational inequality in a direct, personal, and unmistakable form. When Usman and Saad knelt in the soil to plant trees alongside volunteer students, they were not merely performing an environmental gesture; they were experiencing the physical reality of environmental stewardship and the genuine community that forms around shared purposeful action.</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These experiences produce a particular form of knowledge, what philosophers of education sometimes call 'knowledge by acquaintance', that is qualitatively different from the propositional knowledge conveyed through textbooks, lectures, and academic analysis. And it is this form of knowledge, grounded in direct human and ecological encounter, that most reliably produces the sustained empathy and motivation that distinguish professionals who contribute actively to societal wellbeing from those who remain passively indifferent to it.</w:t>
      </w:r>
    </w:p>
    <w:p>
      <w:pPr>
        <w:pStyle w:val="Heading3"/>
        <w:spacing w:after="100" w:before="200"/>
      </w:pPr>
      <w:r>
        <w:rPr>
          <w:rFonts w:ascii="Arial" w:cs="Arial" w:eastAsia="Arial" w:hAnsi="Arial"/>
          <w:b/>
          <w:bCs/>
          <w:color w:val="595959"/>
          <w:sz w:val="23"/>
          <w:szCs w:val="23"/>
        </w:rPr>
        <w:t xml:space="preserve">10.4.2 Teamwork, Planning, and Professional Project Management</w:t>
      </w:r>
    </w:p>
    <w:p>
      <w:pPr>
        <w:spacing w:after="120" w:before="80" w:line="276"/>
        <w:jc w:val="both"/>
      </w:pPr>
      <w:r>
        <w:rPr>
          <w:rFonts w:ascii="Arial" w:cs="Arial" w:eastAsia="Arial" w:hAnsi="Arial"/>
          <w:b w:val="false"/>
          <w:bCs w:val="false"/>
          <w:i w:val="false"/>
          <w:iCs w:val="false"/>
          <w:color w:val="000000"/>
          <w:sz w:val="22"/>
          <w:szCs w:val="22"/>
        </w:rPr>
        <w:t xml:space="preserve">The execution of two coordinated community service initiatives within the timeframe and resource constraints of a university course project required a level of planning rigor, communication discipline, and collaborative coordination that closely mirrors the demands of real professional project management. Each initiative required the identification of a specific need, the development of a targeted response strategy, the mobilization of resources from external partners, the coordination of multiple parallel workstreams, the management of financial resources with complete accountability, and the documentation of outcomes for reporting purposes.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These project management competencies, including the ability to set clear objectives, develop realistic implementation plans, coordinate across multiple actors and dependencies, manage resources responsibly, and communicate progress and outcomes clearly, are among the most valued and transferable skills in professional life. The community service initiatives provided a genuinely challenging context in which to develop and exercise these competencies, with the added dimension of real human and environmental stakes that professional simulation exercises cannot replicate.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team's ability to successfully execute two distinct initiatives simultaneously, while also completing the demanding corporate analysis and interview phase of the report, demonstrated a level of organizational capability and professional discipline that served as its own form of professional development. The experience of managing competing priorities, coordinating across team members with different areas of responsibility, and delivering on multiple commitments simultaneously prepared the team members in concrete and practical ways for the multifaceted demands of professional practice.</w:t>
      </w:r>
    </w:p>
    <w:p>
      <w:pPr>
        <w:pStyle w:val="Heading3"/>
        <w:spacing w:after="100" w:before="200"/>
      </w:pPr>
      <w:r>
        <w:rPr>
          <w:rFonts w:ascii="Arial" w:cs="Arial" w:eastAsia="Arial" w:hAnsi="Arial"/>
          <w:b/>
          <w:bCs/>
          <w:color w:val="595959"/>
          <w:sz w:val="23"/>
          <w:szCs w:val="23"/>
        </w:rPr>
        <w:t xml:space="preserve">10.4.3 Holistic Professionalism: The Intersection of Corporate and Civic Responsibility</w:t>
      </w:r>
    </w:p>
    <w:p>
      <w:pPr>
        <w:spacing w:after="120" w:before="80" w:line="276"/>
        <w:jc w:val="both"/>
      </w:pPr>
      <w:r>
        <w:rPr>
          <w:rFonts w:ascii="Arial" w:cs="Arial" w:eastAsia="Arial" w:hAnsi="Arial"/>
          <w:b w:val="false"/>
          <w:bCs w:val="false"/>
          <w:i w:val="false"/>
          <w:iCs w:val="false"/>
          <w:color w:val="000000"/>
          <w:sz w:val="22"/>
          <w:szCs w:val="22"/>
        </w:rPr>
        <w:t xml:space="preserve">Perhaps the most significant conceptual learning outcome from the community service phase of this project was the deepening of a holistic understanding of professional responsibility, one that encompasses both technical excellence and civic engagement as equally essential dimensions of genuine professional practice.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juxtaposition of the corporate analysis phase and the community service phase of this project was not accidental; it was pedagogically intentional. By engaging deeply with both the ethical complexities of a healthcare technology company and the immediate human needs of underprivileged children and a degraded urban environment, the course framework invited us to understand that professional ethics is not a domain of expertise reserved for corporate compliance departments; it is a pervasive orientation toward responsibility that shapes how one engages with every context in which professional capabilities can be applied.</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Just as Persivia must navigate the complex ethical waters of patient data governance, algorithmic fairness, and healthcare compliance, we, as emerging technology professionals, must navigate our ethical duties to our society and our planet. The specific mechanisms through which these duties are fulfilled will differ across contexts and career stages. But the underlying orientation of attentiveness to others, willingness to apply one's capabilities in service of genuine needs, and commitment to contributing actively to the wellbeing of the communities one inhabits; this orientation is consistent across every domain of professional practice.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community service experience did not merely complement the technical and analytical learning of the course; it completed it. A computer science professional who understands data governance frameworks but has no connection to the human experiences that data governance ultimately protects is missing a foundational dimension of professional understanding. A technology student who can analyze competitive positioning but has never invested their time and energy in direct service to their community is developing only part of what it means to be a complete professional. This course, through its integration of corporate analysis and community service, aimed to cultivate the whole.</w:t>
      </w:r>
    </w:p>
    <w:p>
      <w:pPr>
        <w:pStyle w:val="Heading3"/>
        <w:spacing w:after="100" w:before="200"/>
      </w:pPr>
      <w:r>
        <w:rPr>
          <w:rFonts w:ascii="Arial" w:cs="Arial" w:eastAsia="Arial" w:hAnsi="Arial"/>
          <w:b/>
          <w:bCs/>
          <w:color w:val="595959"/>
          <w:sz w:val="23"/>
          <w:szCs w:val="23"/>
        </w:rPr>
        <w:t xml:space="preserve">10.4.4 Overall Reflection</w:t>
      </w:r>
    </w:p>
    <w:p>
      <w:pPr>
        <w:spacing w:after="120" w:before="80" w:line="276"/>
        <w:jc w:val="both"/>
      </w:pPr>
      <w:r>
        <w:rPr>
          <w:rFonts w:ascii="Arial" w:cs="Arial" w:eastAsia="Arial" w:hAnsi="Arial"/>
          <w:b w:val="false"/>
          <w:bCs w:val="false"/>
          <w:i w:val="false"/>
          <w:iCs w:val="false"/>
          <w:color w:val="000000"/>
          <w:sz w:val="22"/>
          <w:szCs w:val="22"/>
        </w:rPr>
        <w:t xml:space="preserve">In conclusion, the community service phase of this project was not merely an academic exercise or a checkbox requirement; it was a genuinely transformative experience that delivered learning outcomes unavailable through any other pedagogical mechanism. The children at SOUL reminded us why quality education matters not as a policy abstraction but as a lived human necessity. The 200 trees planted across the campus reminded us that environmental action is not the exclusive province of governments and corporations; it is something that individual people, acting together with intention and commitment, can accomplish in a single afternoon.</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These reminders carry forward into professional life as motivating commitments rather than fading memories. The professional who has sat with underprivileged children and witnessed their capacity for joy, curiosity, and learning carries a different understanding of why educational technology must be accessible and equitable. The engineer who has knelt in the soil to plant a tree carries a different awareness of the environmental stakes of the technological systems they build and maintain. Community service, at its best, doesn't just change what students do; it changes who they are as professionals and as human beings.</w:t>
      </w:r>
    </w:p>
    <w:p>
      <w:r>
        <w:br/>
      </w:r>
    </w:p>
    <w:p>
      <w:pPr>
        <w:pStyle w:val="Heading1"/>
        <w:spacing w:after="200" w:before="360"/>
      </w:pPr>
      <w:r>
        <w:rPr>
          <w:rFonts w:ascii="Arial" w:cs="Arial" w:eastAsia="Arial" w:hAnsi="Arial"/>
          <w:b/>
          <w:bCs/>
          <w:color w:val="1F3864"/>
          <w:sz w:val="32"/>
          <w:szCs w:val="32"/>
        </w:rPr>
        <w:t xml:space="preserve">11. Final Conclusion</w:t>
      </w:r>
    </w:p>
    <w:p>
      <w:pPr>
        <w:pBdr>
          <w:bottom w:val="single" w:color="2E75B6" w:sz="6" w:space="1"/>
        </w:pBdr>
        <w:spacing w:after="120" w:before="120"/>
      </w:pPr>
    </w:p>
    <w:p>
      <w:pPr>
        <w:spacing w:after="120" w:before="80" w:line="276"/>
        <w:jc w:val="both"/>
      </w:pPr>
      <w:r>
        <w:rPr>
          <w:rFonts w:ascii="Arial" w:cs="Arial" w:eastAsia="Arial" w:hAnsi="Arial"/>
          <w:b w:val="false"/>
          <w:bCs w:val="false"/>
          <w:i w:val="false"/>
          <w:iCs w:val="false"/>
          <w:color w:val="000000"/>
          <w:sz w:val="22"/>
          <w:szCs w:val="22"/>
        </w:rPr>
        <w:t xml:space="preserve">This comprehensive report has successfully synthesized a rigorous, multidimensional corporate analysis of Persivia with the documentation of two distinct and impactful community service initiatives, presenting together a holistic account of what professional practice means in its fullest sense.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corporate analysis phase revealed a company that has achieved genuine strengths in several important dimensions of healthcare data governance: a controlled, role-based access management architecture; a proactive self-hosted infrastructure strategy that enhances data security; demonstrated HIPAA compliance and regulatory awareness; and a principled human-in-the-loop approach to AI that maintains healthcare professional authority over clinical decision-making. These strengths reflect real organizational investment in the responsible management of sensitive patient data and represent genuine ethical achievements in a domain where the stakes of failure are extraordinarily high.</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Simultaneously, the analysis identified meaningful areas where Persivia's ethical governance framework falls short of the standard appropriate to its operational context. The absence of a dedicated cybersecurity resilience team is an urgent vulnerability in an organization that manages health information for millions of patients and operates in a threat environment characterized by increasingly sophisticated and frequent cyberattacks against healthcare infrastructure. The lack of a formal algorithmic fairness auditing framework creates risk of perpetuating clinical inequities through AI systems that have not been systematically evaluated for demographic bias. The limited employee training in cyber ethics and responsible AI governance increases the risk of human error in data-sensitive environments. And the complete delegation of patient consent responsibility to client institutions, while legally appropriate, leaves ethical gaps in patient transparency that deserve proactive attention.</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community service phase of the project demonstrated complementary and equally important lessons about the nature of professional responsibility. Khadijah's initiative at SOUL demonstrated that financial support for educational institutions must be accompanied by personal, human engagement to achieve its full potential impact. The children at SOUL did not only need books and supplies; they needed the experience of being seen, valued, and engaged by members of an older generation who were willing to invest their time and attention in their development. This lesson about the limits of purely financial interventions and the irreplaceable value of human connection has direct implications for how technology professionals think about the social impact of the systems they build.</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Usman and Saad's tree plantation drive demonstrated that meaningful environmental action at meaningful scale is achievable by motivated university students, when they invest the effort to mobilize community resources, build institutional partnerships, and translate environmental awareness into physical commitment. The 200+ trees now growing on the campus are a tangible, living reminder that individual and collective action produces real environmental outcomes. They also represent an ongoing responsibility: the commitment to monitor and protect those trees is itself an expression of the sustained stewardship that genuine environmental care requires.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Taken together, the two phases of this project have prepared all three team members in concrete, meaningful ways for the demands of professional practice in the twenty-first century. We have learned to conduct structured professional analysis of complex organizations, to identify ethical strengths and vulnerabilities, and to develop evidence-based recommendations for improvement. We have learned to plan and execute community projects that require resource mobilization, stakeholder engagement, and careful logistics management. We have learned to work collaboratively across different areas of responsibility, supporting each other's contributions while maintaining individual accountability. And we have learned, most profoundly, that a successful technology professional must be simultaneously technically proficient, ethically informed, and genuinely committed to the wellbeing of the society they serve.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This report stands as both a record of what we accomplished and a statement of the professionals we are committed to becoming.</w:t>
      </w:r>
    </w:p>
    <w:p>
      <w:r>
        <w:br/>
      </w:r>
    </w:p>
    <w:p>
      <w:pPr>
        <w:pStyle w:val="Heading1"/>
        <w:spacing w:after="200" w:before="360"/>
      </w:pPr>
      <w:r>
        <w:rPr>
          <w:rFonts w:ascii="Arial" w:cs="Arial" w:eastAsia="Arial" w:hAnsi="Arial"/>
          <w:b/>
          <w:bCs/>
          <w:color w:val="1F3864"/>
          <w:sz w:val="32"/>
          <w:szCs w:val="32"/>
        </w:rPr>
        <w:t xml:space="preserve">12. Group Contributions</w:t>
      </w:r>
    </w:p>
    <w:p>
      <w:pPr>
        <w:pBdr>
          <w:bottom w:val="single" w:color="2E75B6" w:sz="6" w:space="1"/>
        </w:pBdr>
        <w:spacing w:after="120" w:before="120"/>
      </w:pPr>
    </w:p>
    <w:p>
      <w:pPr>
        <w:spacing w:after="120" w:before="80" w:line="276"/>
        <w:jc w:val="both"/>
      </w:pPr>
      <w:r>
        <w:rPr>
          <w:rFonts w:ascii="Arial" w:cs="Arial" w:eastAsia="Arial" w:hAnsi="Arial"/>
          <w:b w:val="false"/>
          <w:bCs w:val="false"/>
          <w:i w:val="false"/>
          <w:iCs w:val="false"/>
          <w:color w:val="000000"/>
          <w:sz w:val="22"/>
          <w:szCs w:val="22"/>
        </w:rPr>
        <w:t xml:space="preserve">The successful completion of this comprehensive dual-faceted project was the direct result of equitable teamwork, sustained collaborative effort, and genuine mutual support among all three group members. The following table documents each member's specific contributions across both phases of the project:</w:t>
      </w:r>
    </w:p>
    <w:p>
      <w:pPr>
        <w:spacing w:after="1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Team Member</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Company Analysis Phase</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CSR Phase</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vAlign w:val="top"/>
          </w:tcPr>
          <w:p>
            <w:pPr>
              <w:jc w:val="both"/>
            </w:pPr>
            <w:r>
              <w:rPr>
                <w:rFonts w:ascii="Arial" w:cs="Arial" w:eastAsia="Arial" w:hAnsi="Arial"/>
                <w:sz w:val="20"/>
                <w:szCs w:val="20"/>
              </w:rPr>
              <w:t xml:space="preserve">Usman Ali
F2023-750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jc w:val="both"/>
            </w:pPr>
            <w:r>
              <w:rPr>
                <w:rFonts w:ascii="Arial" w:cs="Arial" w:eastAsia="Arial" w:hAnsi="Arial"/>
                <w:sz w:val="20"/>
                <w:szCs w:val="20"/>
              </w:rPr>
              <w:t xml:space="preserve">Co-led the 15-question interview protocol; participated in Persivia office visit; posed technical questions on AI models and error correction; drafted Competitor Analysis and SWOT sections.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vAlign w:val="top"/>
          </w:tcPr>
          <w:p>
            <w:pPr>
              <w:jc w:val="both"/>
            </w:pPr>
            <w:r>
              <w:rPr>
                <w:rFonts w:ascii="Arial" w:cs="Arial" w:eastAsia="Arial" w:hAnsi="Arial"/>
                <w:sz w:val="20"/>
                <w:szCs w:val="20"/>
              </w:rPr>
              <w:t xml:space="preserve">Co-organized SDG 13 Climate Action initiative; handled logistical planning; coordinated student volunteers; actively planted trees across campus; co-authored the CSR environmental section.</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vAlign w:val="top"/>
          </w:tcPr>
          <w:p>
            <w:pPr>
              <w:jc w:val="both"/>
            </w:pPr>
            <w:r>
              <w:rPr>
                <w:rFonts w:ascii="Arial" w:cs="Arial" w:eastAsia="Arial" w:hAnsi="Arial"/>
                <w:sz w:val="20"/>
                <w:szCs w:val="20"/>
              </w:rPr>
              <w:t xml:space="preserve">Saad Mughal
F2023-009</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jc w:val="both"/>
            </w:pPr>
            <w:r>
              <w:rPr>
                <w:rFonts w:ascii="Arial" w:cs="Arial" w:eastAsia="Arial" w:hAnsi="Arial"/>
                <w:sz w:val="20"/>
                <w:szCs w:val="20"/>
              </w:rPr>
              <w:t xml:space="preserve">Managed external communications to secure Persivia interview; led visual branding and website analysis; synthesized interview data for Findings, Analysis, and Future Recommendations sections.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vAlign w:val="top"/>
          </w:tcPr>
          <w:p>
            <w:pPr>
              <w:jc w:val="both"/>
            </w:pPr>
            <w:r>
              <w:rPr>
                <w:rFonts w:ascii="Arial" w:cs="Arial" w:eastAsia="Arial" w:hAnsi="Arial"/>
                <w:sz w:val="20"/>
                <w:szCs w:val="20"/>
              </w:rPr>
              <w:t xml:space="preserve">Partnered with Usman on SDG 13 initiative; served as primary liaison with Lahore Conservation Society to secure sapling donation; monitored post-planting sapling health; documented environmental drive.</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vAlign w:val="top"/>
          </w:tcPr>
          <w:p>
            <w:pPr>
              <w:jc w:val="both"/>
            </w:pPr>
            <w:r>
              <w:rPr>
                <w:rFonts w:ascii="Arial" w:cs="Arial" w:eastAsia="Arial" w:hAnsi="Arial"/>
                <w:sz w:val="20"/>
                <w:szCs w:val="20"/>
              </w:rPr>
              <w:t xml:space="preserve">Khadijah Zahoor
F2023-956</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jc w:val="both"/>
            </w:pPr>
            <w:r>
              <w:rPr>
                <w:rFonts w:ascii="Arial" w:cs="Arial" w:eastAsia="Arial" w:hAnsi="Arial"/>
                <w:sz w:val="20"/>
                <w:szCs w:val="20"/>
              </w:rPr>
              <w:t xml:space="preserve">Researched Persivia's CareSpace® portfolio; inferred practical organogram; focused interview questions on data privacy, LLM usage, and HIPAA compliance; drafted Topic Selection section and formatted the complete report.</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vAlign w:val="top"/>
          </w:tcPr>
          <w:p>
            <w:pPr>
              <w:jc w:val="both"/>
            </w:pPr>
            <w:r>
              <w:rPr>
                <w:rFonts w:ascii="Arial" w:cs="Arial" w:eastAsia="Arial" w:hAnsi="Arial"/>
                <w:sz w:val="20"/>
                <w:szCs w:val="20"/>
              </w:rPr>
              <w:t xml:space="preserve">Independently conceptualized and executed SDG 4 Quality Education initiative; organized and managed campus bake sale; coordinated donation logistics; planned interactive activities at SOUL; documented CSR findings.</w:t>
            </w:r>
          </w:p>
        </w:tc>
      </w:tr>
    </w:tbl>
    <w:p>
      <w:pPr>
        <w:spacing w:after="180" w:before="0"/>
      </w:pPr>
    </w:p>
    <w:p>
      <w:pPr>
        <w:spacing w:after="120" w:before="80" w:line="276"/>
        <w:jc w:val="both"/>
      </w:pPr>
      <w:r>
        <w:rPr>
          <w:rFonts w:ascii="Arial" w:cs="Arial" w:eastAsia="Arial" w:hAnsi="Arial"/>
          <w:b w:val="false"/>
          <w:bCs w:val="false"/>
          <w:i w:val="false"/>
          <w:iCs w:val="false"/>
          <w:color w:val="000000"/>
          <w:sz w:val="22"/>
          <w:szCs w:val="22"/>
        </w:rPr>
        <w:t xml:space="preserve">Beyond the specific task divisions documented above, all three team members participated collectively in the conceptual development of the report's analytical framework, the critical review and refinement of each other's written contributions, and the final editing and formatting of the complete document. The report's coherence, consistency, and quality reflect the collective investment of the entire team.</w:t>
      </w:r>
    </w:p>
    <w:p>
      <w:r>
        <w:br/>
      </w:r>
    </w:p>
    <w:p>
      <w:pPr>
        <w:pStyle w:val="Heading1"/>
        <w:spacing w:after="200" w:before="360"/>
      </w:pPr>
      <w:r>
        <w:rPr>
          <w:rFonts w:ascii="Arial" w:cs="Arial" w:eastAsia="Arial" w:hAnsi="Arial"/>
          <w:b/>
          <w:bCs/>
          <w:color w:val="1F3864"/>
          <w:sz w:val="32"/>
          <w:szCs w:val="32"/>
        </w:rPr>
        <w:t xml:space="preserve">13. References</w:t>
      </w:r>
    </w:p>
    <w:p>
      <w:pPr>
        <w:pBdr>
          <w:bottom w:val="single" w:color="2E75B6" w:sz="6" w:space="1"/>
        </w:pBdr>
        <w:spacing w:after="120" w:before="120"/>
      </w:pPr>
    </w:p>
    <w:p>
      <w:pPr>
        <w:spacing w:after="120" w:before="80" w:line="276"/>
        <w:jc w:val="both"/>
      </w:pPr>
      <w:r>
        <w:rPr>
          <w:rFonts w:ascii="Arial" w:cs="Arial" w:eastAsia="Arial" w:hAnsi="Arial"/>
          <w:b w:val="false"/>
          <w:bCs w:val="false"/>
          <w:i w:val="false"/>
          <w:iCs w:val="false"/>
          <w:color w:val="000000"/>
          <w:sz w:val="22"/>
          <w:szCs w:val="22"/>
        </w:rPr>
        <w:t xml:space="preserve">The following sources informed the research, analysis, and content development of this report:</w:t>
      </w:r>
    </w:p>
    <w:p>
      <w:pPr>
        <w:spacing w:after="80" w:before="0"/>
      </w:pPr>
    </w:p>
    <w:p>
      <w:pPr>
        <w:spacing w:after="60" w:before="60" w:line="276"/>
        <w:ind w:left="720" w:hanging="720"/>
        <w:jc w:val="both"/>
      </w:pPr>
      <w:r>
        <w:rPr>
          <w:rFonts w:ascii="Arial" w:cs="Arial" w:eastAsia="Arial" w:hAnsi="Arial"/>
          <w:color w:val="000000"/>
          <w:sz w:val="20"/>
          <w:szCs w:val="20"/>
        </w:rPr>
        <w:t xml:space="preserve">Persivia Inc. (2024). CareSpace® Platform Overview. Retrieved from https://www.persivia.com</w:t>
      </w:r>
    </w:p>
    <w:p>
      <w:pPr>
        <w:spacing w:after="60" w:before="60" w:line="276"/>
        <w:ind w:left="720" w:hanging="720"/>
        <w:jc w:val="both"/>
      </w:pPr>
      <w:r>
        <w:rPr>
          <w:rFonts w:ascii="Arial" w:cs="Arial" w:eastAsia="Arial" w:hAnsi="Arial"/>
          <w:color w:val="000000"/>
          <w:sz w:val="20"/>
          <w:szCs w:val="20"/>
        </w:rPr>
        <w:t xml:space="preserve">United States Department of Health and Human Services. (2023). Health Insurance Portability and Accountability Act (HIPAA) for Professionals. HHS.gov.</w:t>
      </w:r>
    </w:p>
    <w:p>
      <w:pPr>
        <w:spacing w:after="60" w:before="60" w:line="276"/>
        <w:ind w:left="720" w:hanging="720"/>
        <w:jc w:val="both"/>
      </w:pPr>
      <w:r>
        <w:rPr>
          <w:rFonts w:ascii="Arial" w:cs="Arial" w:eastAsia="Arial" w:hAnsi="Arial"/>
          <w:color w:val="000000"/>
          <w:sz w:val="20"/>
          <w:szCs w:val="20"/>
        </w:rPr>
        <w:t xml:space="preserve">Gartner Inc. (2024). Market Guide for Population Health Management Platforms. Gartner Research.</w:t>
      </w:r>
    </w:p>
    <w:p>
      <w:pPr>
        <w:spacing w:after="60" w:before="60" w:line="276"/>
        <w:ind w:left="720" w:hanging="720"/>
        <w:jc w:val="both"/>
      </w:pPr>
      <w:r>
        <w:rPr>
          <w:rFonts w:ascii="Arial" w:cs="Arial" w:eastAsia="Arial" w:hAnsi="Arial"/>
          <w:color w:val="000000"/>
          <w:sz w:val="20"/>
          <w:szCs w:val="20"/>
        </w:rPr>
        <w:t xml:space="preserve">AVIA Marketplace. (2024). Persivia Alternatives and Competitors. AVIA Health.</w:t>
      </w:r>
    </w:p>
    <w:p>
      <w:pPr>
        <w:spacing w:after="60" w:before="60" w:line="276"/>
        <w:ind w:left="720" w:hanging="720"/>
        <w:jc w:val="both"/>
      </w:pPr>
      <w:r>
        <w:rPr>
          <w:rFonts w:ascii="Arial" w:cs="Arial" w:eastAsia="Arial" w:hAnsi="Arial"/>
          <w:color w:val="000000"/>
          <w:sz w:val="20"/>
          <w:szCs w:val="20"/>
        </w:rPr>
        <w:t xml:space="preserve">World Health Organization. (2024). Health and Climate Change: Country Profile: Pakistan. WHO.</w:t>
      </w:r>
    </w:p>
    <w:p>
      <w:pPr>
        <w:spacing w:after="60" w:before="60" w:line="276"/>
        <w:ind w:left="720" w:hanging="720"/>
        <w:jc w:val="both"/>
      </w:pPr>
      <w:r>
        <w:rPr>
          <w:rFonts w:ascii="Arial" w:cs="Arial" w:eastAsia="Arial" w:hAnsi="Arial"/>
          <w:color w:val="000000"/>
          <w:sz w:val="20"/>
          <w:szCs w:val="20"/>
        </w:rPr>
        <w:t xml:space="preserve">United Nations. (2023). Sustainable Development Goals, Goal 4: Quality Education. United Nations Department of Economic and Social Affairs.</w:t>
      </w:r>
    </w:p>
    <w:p>
      <w:pPr>
        <w:spacing w:after="60" w:before="60" w:line="276"/>
        <w:ind w:left="720" w:hanging="720"/>
        <w:jc w:val="both"/>
      </w:pPr>
      <w:r>
        <w:rPr>
          <w:rFonts w:ascii="Arial" w:cs="Arial" w:eastAsia="Arial" w:hAnsi="Arial"/>
          <w:color w:val="000000"/>
          <w:sz w:val="20"/>
          <w:szCs w:val="20"/>
        </w:rPr>
        <w:t xml:space="preserve">United Nations. (2023). Sustainable Development Goals, Goal 13: Climate Action. United Nations Department of Economic and Social Affairs.</w:t>
      </w:r>
    </w:p>
    <w:p>
      <w:pPr>
        <w:spacing w:after="60" w:before="60" w:line="276"/>
        <w:ind w:left="720" w:hanging="720"/>
        <w:jc w:val="both"/>
      </w:pPr>
      <w:r>
        <w:rPr>
          <w:rFonts w:ascii="Arial" w:cs="Arial" w:eastAsia="Arial" w:hAnsi="Arial"/>
          <w:color w:val="000000"/>
          <w:sz w:val="20"/>
          <w:szCs w:val="20"/>
        </w:rPr>
        <w:t xml:space="preserve">UNESCO Institute for Statistics. (2023). Education and Literacy in Pakistan. UNESCO.</w:t>
      </w:r>
    </w:p>
    <w:p>
      <w:pPr>
        <w:spacing w:after="60" w:before="60" w:line="276"/>
        <w:ind w:left="720" w:hanging="720"/>
        <w:jc w:val="both"/>
      </w:pPr>
      <w:r>
        <w:rPr>
          <w:rFonts w:ascii="Arial" w:cs="Arial" w:eastAsia="Arial" w:hAnsi="Arial"/>
          <w:color w:val="000000"/>
          <w:sz w:val="20"/>
          <w:szCs w:val="20"/>
        </w:rPr>
        <w:t xml:space="preserve">Obermeyer, Z., Powers, B., Vogeli, C., &amp; Mullainathan, S. (2019). Dissecting Racial Bias in an Algorithm Used to Manage the Health of Populations. Science, 366(6464), 447–453.</w:t>
      </w:r>
    </w:p>
    <w:p>
      <w:pPr>
        <w:spacing w:after="60" w:before="60" w:line="276"/>
        <w:ind w:left="720" w:hanging="720"/>
        <w:jc w:val="both"/>
      </w:pPr>
      <w:r>
        <w:rPr>
          <w:rFonts w:ascii="Arial" w:cs="Arial" w:eastAsia="Arial" w:hAnsi="Arial"/>
          <w:color w:val="000000"/>
          <w:sz w:val="20"/>
          <w:szCs w:val="20"/>
        </w:rPr>
        <w:t xml:space="preserve">Char, D. S., Shah, N. H., &amp; Magnus, D. (2018). Implementing Machine Learning in Health Care: Addressing Ethical Challenges. New England Journal of Medicine, 378(11), 981–983.</w:t>
      </w:r>
    </w:p>
    <w:p>
      <w:pPr>
        <w:spacing w:after="60" w:before="60" w:line="276"/>
        <w:ind w:left="720" w:hanging="720"/>
        <w:jc w:val="both"/>
      </w:pPr>
      <w:r>
        <w:rPr>
          <w:rFonts w:ascii="Arial" w:cs="Arial" w:eastAsia="Arial" w:hAnsi="Arial"/>
          <w:color w:val="000000"/>
          <w:sz w:val="20"/>
          <w:szCs w:val="20"/>
        </w:rPr>
        <w:t xml:space="preserve">Lahore Conservation Society. (2024). Urban Greening and Tree Plantation Initiatives. Lahore.</w:t>
      </w:r>
    </w:p>
    <w:p>
      <w:pPr>
        <w:spacing w:after="60" w:before="60" w:line="276"/>
        <w:ind w:left="720" w:hanging="720"/>
        <w:jc w:val="both"/>
      </w:pPr>
      <w:r>
        <w:rPr>
          <w:rFonts w:ascii="Arial" w:cs="Arial" w:eastAsia="Arial" w:hAnsi="Arial"/>
          <w:color w:val="000000"/>
          <w:sz w:val="20"/>
          <w:szCs w:val="20"/>
        </w:rPr>
        <w:t xml:space="preserve">HL7 International. (2024). HL7 FHIR Standards for Healthcare Interoperability. HL7.org.</w:t>
      </w:r>
    </w:p>
    <w:p>
      <w:pPr>
        <w:spacing w:after="60" w:before="60" w:line="276"/>
        <w:ind w:left="720" w:hanging="720"/>
        <w:jc w:val="both"/>
      </w:pPr>
      <w:r>
        <w:rPr>
          <w:rFonts w:ascii="Arial" w:cs="Arial" w:eastAsia="Arial" w:hAnsi="Arial"/>
          <w:color w:val="000000"/>
          <w:sz w:val="20"/>
          <w:szCs w:val="20"/>
        </w:rPr>
        <w:t xml:space="preserve">Centers for Medicare and Medicaid Services. (2024). Value-Based Care Overview. CMS.gov.</w:t>
      </w:r>
    </w:p>
    <w:p>
      <w:pPr>
        <w:spacing w:after="60" w:before="60" w:line="276"/>
        <w:ind w:left="720" w:hanging="720"/>
        <w:jc w:val="both"/>
      </w:pPr>
      <w:r>
        <w:rPr>
          <w:rFonts w:ascii="Arial" w:cs="Arial" w:eastAsia="Arial" w:hAnsi="Arial"/>
          <w:color w:val="000000"/>
          <w:sz w:val="20"/>
          <w:szCs w:val="20"/>
        </w:rPr>
        <w:t xml:space="preserve">Bhatt, D. L., &amp; Mehta, C. (2016). Adaptive Designs for Clinical Trials. New England Journal of Medicine, 375(1), 65–74.</w:t>
      </w:r>
    </w:p>
    <w:p>
      <w:pPr>
        <w:spacing w:after="60" w:before="60" w:line="276"/>
        <w:ind w:left="720" w:hanging="720"/>
        <w:jc w:val="both"/>
      </w:pPr>
      <w:r>
        <w:rPr>
          <w:rFonts w:ascii="Arial" w:cs="Arial" w:eastAsia="Arial" w:hAnsi="Arial"/>
          <w:color w:val="000000"/>
          <w:sz w:val="20"/>
          <w:szCs w:val="20"/>
        </w:rPr>
        <w:t xml:space="preserve">Mittelstadt, B. D., Allo, P., Taddeo, M., Wachter, S., &amp; Floridi, L. (2016). The Ethics of Algorithms: Mapping the Debate. Big Data &amp; Society, 3(2).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after="0" w:before="100"/>
      <w:jc w:val="center"/>
    </w:pPr>
    <w:r>
      <w:rPr>
        <w:rFonts w:ascii="Arial" w:cs="Arial" w:eastAsia="Arial" w:hAnsi="Arial"/>
        <w:color w:val="595959"/>
        <w:sz w:val="18"/>
        <w:szCs w:val="18"/>
      </w:rPr>
      <w:t xml:space="preserve">Page </w:t>
    </w:r>
    <w:r>
      <w:rPr>
        <w:rFonts w:ascii="Arial" w:cs="Arial" w:eastAsia="Arial" w:hAnsi="Arial"/>
        <w:color w:val="595959"/>
        <w:sz w:val="18"/>
        <w:szCs w:val="18"/>
      </w:rPr>
      <w:t xml:space="preserve">| Usman Ali | Saad Mughal | Khadijah Zahoor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before="0"/>
    </w:pPr>
    <w:r>
      <w:rPr>
        <w:rFonts w:ascii="Arial" w:cs="Arial" w:eastAsia="Arial" w:hAnsi="Arial"/>
        <w:color w:val="595959"/>
        <w:sz w:val="18"/>
        <w:szCs w:val="18"/>
      </w:rPr>
      <w:t xml:space="preserve">Professional Practices Report, Spring 2026</w:t>
    </w:r>
    <w:r>
      <w:rPr>
        <w:rFonts w:ascii="Arial" w:cs="Arial" w:eastAsia="Arial" w:hAnsi="Arial"/>
        <w:color w:val="595959"/>
        <w:sz w:val="18"/>
        <w:szCs w:val="18"/>
      </w:rPr>
      <w:t xml:space="preserve">     |     Persivia Analysis &amp; Community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2026-05-10T12:11:22.217Z</dcterms:created>
  <dcterms:modified xsi:type="dcterms:W3CDTF">2026-05-10T12:11:22.233Z</dcterms:modified>
</cp:coreProperties>
</file>

<file path=docProps/custom.xml><?xml version="1.0" encoding="utf-8"?>
<Properties xmlns="http://schemas.openxmlformats.org/officeDocument/2006/custom-properties" xmlns:vt="http://schemas.openxmlformats.org/officeDocument/2006/docPropsVTypes"/>
</file>