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jc w:val="center"/>
      </w:pPr>
      <w:r>
        <w:rPr>
          <w:rFonts w:ascii="Calibri" w:cs="Calibri" w:eastAsia="Calibri" w:hAnsi="Calibri"/>
          <w:b/>
          <w:bCs/>
          <w:color w:val="1F3864"/>
          <w:sz w:val="28"/>
          <w:szCs w:val="28"/>
        </w:rPr>
        <w:t xml:space="preserve">BEACONHOUSE NATIONAL UNIVERSITY</w:t>
      </w:r>
    </w:p>
    <w:p>
      <w:pPr>
        <w:jc w:val="center"/>
      </w:pPr>
      <w:r>
        <w:rPr>
          <w:rFonts w:ascii="Calibri" w:cs="Calibri" w:eastAsia="Calibri" w:hAnsi="Calibri"/>
          <w:color w:val="555555"/>
          <w:sz w:val="24"/>
          <w:szCs w:val="24"/>
        </w:rPr>
        <w:t xml:space="preserve">Department of Computer Science</w:t>
      </w:r>
    </w:p>
    <w:p>
      <w:pPr>
        <w:spacing w:after="200" w:before="0"/>
      </w:pPr>
      <w:r>
        <w:t xml:space="preserve"/>
      </w:r>
    </w:p>
    <w:p>
      <w:pPr>
        <w:pBdr>
          <w:bottom w:val="single" w:color="2E75B6" w:sz="8" w:space="4"/>
        </w:pBdr>
        <w:jc w:val="center"/>
      </w:pPr>
      <w:r>
        <w:t xml:space="preserve"/>
      </w:r>
    </w:p>
    <w:p>
      <w:pPr>
        <w:spacing w:after="200" w:before="0"/>
      </w:pPr>
      <w:r>
        <w:t xml:space="preserve"/>
      </w:r>
    </w:p>
    <w:p>
      <w:pPr>
        <w:jc w:val="center"/>
      </w:pPr>
      <w:r>
        <w:rPr>
          <w:rFonts w:ascii="Calibri" w:cs="Calibri" w:eastAsia="Calibri" w:hAnsi="Calibri"/>
          <w:b/>
          <w:bCs/>
          <w:color w:val="2E75B6"/>
          <w:sz w:val="28"/>
          <w:szCs w:val="28"/>
        </w:rPr>
        <w:t xml:space="preserve">Digital Finance &amp; Blockchain Technologies</w:t>
      </w:r>
    </w:p>
    <w:p>
      <w:pPr>
        <w:spacing w:after="80" w:before="0"/>
      </w:pPr>
      <w:r>
        <w:t xml:space="preserve"/>
      </w:r>
    </w:p>
    <w:p>
      <w:pPr>
        <w:jc w:val="center"/>
      </w:pPr>
      <w:r>
        <w:rPr>
          <w:rFonts w:ascii="Calibri" w:cs="Calibri" w:eastAsia="Calibri" w:hAnsi="Calibri"/>
          <w:b/>
          <w:bCs/>
          <w:color w:val="1F3864"/>
          <w:sz w:val="52"/>
          <w:szCs w:val="52"/>
        </w:rPr>
        <w:t xml:space="preserve">Thesis Report</w:t>
      </w:r>
    </w:p>
    <w:p>
      <w:pPr>
        <w:spacing w:after="80" w:before="0"/>
      </w:pPr>
      <w:r>
        <w:t xml:space="preserve"/>
      </w:r>
    </w:p>
    <w:p>
      <w:pPr>
        <w:jc w:val="center"/>
      </w:pPr>
      <w:r>
        <w:rPr>
          <w:rFonts w:ascii="Calibri" w:cs="Calibri" w:eastAsia="Calibri" w:hAnsi="Calibri"/>
          <w:b/>
          <w:bCs/>
          <w:color w:val="2E75B6"/>
          <w:sz w:val="36"/>
          <w:szCs w:val="36"/>
        </w:rPr>
        <w:t xml:space="preserve">Web3 To-Do Contract</w:t>
      </w:r>
    </w:p>
    <w:p>
      <w:pPr>
        <w:spacing w:after="60" w:before="0"/>
      </w:pPr>
      <w:r>
        <w:t xml:space="preserve"/>
      </w:r>
    </w:p>
    <w:p>
      <w:pPr>
        <w:jc w:val="center"/>
      </w:pPr>
      <w:r>
        <w:rPr>
          <w:rFonts w:ascii="Calibri" w:cs="Calibri" w:eastAsia="Calibri" w:hAnsi="Calibri"/>
          <w:i/>
          <w:iCs/>
          <w:color w:val="666666"/>
          <w:sz w:val="24"/>
          <w:szCs w:val="24"/>
        </w:rPr>
        <w:t xml:space="preserve">A Decentralized Task Management System on Ethereum Sepolia Testnet</w:t>
      </w:r>
    </w:p>
    <w:p>
      <w:pPr>
        <w:spacing w:after="4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rPr>
          <w:tblHeader/>
        </w:trPr>
        <w:tc>
          <w:tcPr>
            <w:tcW w:type="dxa" w:w="6000"/>
            <w:gridSpan w:val="2"/>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Team Members</w:t>
            </w:r>
          </w:p>
        </w:tc>
      </w:tr>
      <w:tr>
        <w:trPr>
          <w:tblHeader w:val="false"/>
        </w:trPr>
        <w:tc>
          <w:tcPr>
            <w:tcW w:type="dxa" w:w="2200"/>
            <w:tcBorders>
              <w:top w:val="single" w:color="B0C4D8" w:sz="1"/>
              <w:left w:val="single" w:color="B0C4D8" w:sz="1"/>
              <w:bottom w:val="single" w:color="B0C4D8" w:sz="1"/>
              <w:right w:val="single" w:color="B0C4D8" w:sz="1"/>
            </w:tcBorders>
            <w:shd w:fill="F2F7FB"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Saad Mughal</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55"/>
                <w:sz w:val="20"/>
                <w:szCs w:val="20"/>
              </w:rPr>
              <w:t xml:space="preserve">F2023-009</w:t>
            </w:r>
          </w:p>
        </w:tc>
      </w:tr>
      <w:tr>
        <w:trPr>
          <w:tblHeader w:val="false"/>
        </w:trPr>
        <w:tc>
          <w:tcPr>
            <w:tcW w:type="dxa" w:w="2200"/>
            <w:tcBorders>
              <w:top w:val="single" w:color="B0C4D8" w:sz="1"/>
              <w:left w:val="single" w:color="B0C4D8" w:sz="1"/>
              <w:bottom w:val="single" w:color="B0C4D8" w:sz="1"/>
              <w:right w:val="single" w:color="B0C4D8" w:sz="1"/>
            </w:tcBorders>
            <w:shd w:fill="F2F7FB"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Khadijah Zahoor</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55"/>
                <w:sz w:val="20"/>
                <w:szCs w:val="20"/>
              </w:rPr>
              <w:t xml:space="preserve">F2023-956</w:t>
            </w:r>
          </w:p>
        </w:tc>
      </w:tr>
      <w:tr>
        <w:trPr>
          <w:tblHeader w:val="false"/>
        </w:trPr>
        <w:tc>
          <w:tcPr>
            <w:tcW w:type="dxa" w:w="2200"/>
            <w:tcBorders>
              <w:top w:val="single" w:color="B0C4D8" w:sz="1"/>
              <w:left w:val="single" w:color="B0C4D8" w:sz="1"/>
              <w:bottom w:val="single" w:color="B0C4D8" w:sz="1"/>
              <w:right w:val="single" w:color="B0C4D8" w:sz="1"/>
            </w:tcBorders>
            <w:shd w:fill="F2F7FB"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Sara Haider</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55"/>
                <w:sz w:val="20"/>
                <w:szCs w:val="20"/>
              </w:rPr>
              <w:t xml:space="preserve">F2023-744</w:t>
            </w:r>
          </w:p>
        </w:tc>
      </w:tr>
      <w:tr>
        <w:trPr>
          <w:tblHeader w:val="false"/>
        </w:trPr>
        <w:tc>
          <w:tcPr>
            <w:tcW w:type="dxa" w:w="2200"/>
            <w:tcBorders>
              <w:top w:val="single" w:color="B0C4D8" w:sz="1"/>
              <w:left w:val="single" w:color="B0C4D8" w:sz="1"/>
              <w:bottom w:val="single" w:color="B0C4D8" w:sz="1"/>
              <w:right w:val="single" w:color="B0C4D8" w:sz="1"/>
            </w:tcBorders>
            <w:shd w:fill="F2F7FB"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Syed Shahmeer Bakht</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55"/>
                <w:sz w:val="20"/>
                <w:szCs w:val="20"/>
              </w:rPr>
              <w:t xml:space="preserve">F2023-339</w:t>
            </w:r>
          </w:p>
        </w:tc>
      </w:tr>
    </w:tbl>
    <w:p>
      <w:pPr>
        <w:spacing w:after="200" w:before="0"/>
      </w:pPr>
      <w:r>
        <w:t xml:space="preserve"/>
      </w:r>
    </w:p>
    <w:p>
      <w:pPr>
        <w:jc w:val="center"/>
      </w:pPr>
      <w:r>
        <w:rPr>
          <w:rFonts w:ascii="Calibri" w:cs="Calibri" w:eastAsia="Calibri" w:hAnsi="Calibri"/>
          <w:color w:val="666666"/>
          <w:sz w:val="20"/>
          <w:szCs w:val="20"/>
        </w:rPr>
        <w:t xml:space="preserve">Course Lecturer: Shamweel Qamar  |  Section: B</w:t>
      </w:r>
    </w:p>
    <w:p>
      <w:pPr>
        <w:jc w:val="center"/>
      </w:pPr>
      <w:r>
        <w:rPr>
          <w:rFonts w:ascii="Calibri" w:cs="Calibri" w:eastAsia="Calibri" w:hAnsi="Calibri"/>
          <w:color w:val="666666"/>
          <w:sz w:val="20"/>
          <w:szCs w:val="20"/>
        </w:rPr>
        <w:t xml:space="preserve">Submission Date: 21 May 2026</w:t>
      </w:r>
    </w:p>
    <w:p>
      <w:r>
        <w:br w:type="pag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Abstract</w:t>
      </w:r>
    </w:p>
    <w:p>
      <w:pPr>
        <w:spacing w:after="120" w:before="0" w:line="300"/>
        <w:jc w:val="both"/>
      </w:pPr>
      <w:r>
        <w:rPr>
          <w:rFonts w:ascii="Calibri" w:cs="Calibri" w:eastAsia="Calibri" w:hAnsi="Calibri"/>
          <w:color w:val="333333"/>
          <w:sz w:val="22"/>
          <w:szCs w:val="22"/>
        </w:rPr>
        <w:t xml:space="preserve">This report presents the design, implementation, and deployment of the Web3 To-Do Contract, a decentralized task management system built on the Ethereum Sepolia testnet. Traditional to-do applications store user data on centralized servers, requiring trust in a third-party platform. This project eliminates that dependency by encoding all task logic directly into a Solidity smart contract. Users interact with their tasks through their Ethereum wallet, with all operations permanently recorded on the blockchain.</w:t>
      </w:r>
    </w:p>
    <w:p>
      <w:pPr>
        <w:spacing w:after="120" w:before="0" w:line="300"/>
        <w:jc w:val="both"/>
      </w:pPr>
      <w:r>
        <w:rPr>
          <w:rFonts w:ascii="Calibri" w:cs="Calibri" w:eastAsia="Calibri" w:hAnsi="Calibri"/>
          <w:color w:val="333333"/>
          <w:sz w:val="22"/>
          <w:szCs w:val="22"/>
        </w:rPr>
        <w:t xml:space="preserve">The system demonstrates how foundational blockchain concepts — immutability, data ownership, transparency, and gas efficiency — translate into practical engineering decisions in a real-world application. The contract is deployed at address 0xdd558475249E4caac26409D6970b9fD09BC9Df21 on Sepolia and is publicly verifiable on Sepolia Etherscan. The full stack uses Remix IDE, MetaMask, Solidity 0.8.19, and a React/HTML frontend connected via ethers.js v6.</w:t>
      </w:r>
    </w:p>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1. Introduction</w:t>
      </w:r>
    </w:p>
    <w:p>
      <w:pPr>
        <w:spacing w:after="120" w:before="0" w:line="300"/>
        <w:jc w:val="both"/>
      </w:pPr>
      <w:r>
        <w:rPr>
          <w:rFonts w:ascii="Calibri" w:cs="Calibri" w:eastAsia="Calibri" w:hAnsi="Calibri"/>
          <w:color w:val="333333"/>
          <w:sz w:val="22"/>
          <w:szCs w:val="22"/>
        </w:rPr>
        <w:t xml:space="preserve">The proliferation of Web3 technologies has created new opportunities to rethink how everyday applications handle data. Centralized to-do applications, despite their convenience, introduce a fundamental trust problem: user data resides on servers owned by companies that may alter, lose, or monetize that data without consent. The user has no verifiable guarantee of data integrity.</w:t>
      </w:r>
    </w:p>
    <w:p>
      <w:pPr>
        <w:spacing w:after="120" w:before="0" w:line="300"/>
        <w:jc w:val="both"/>
      </w:pPr>
      <w:r>
        <w:rPr>
          <w:rFonts w:ascii="Calibri" w:cs="Calibri" w:eastAsia="Calibri" w:hAnsi="Calibri"/>
          <w:color w:val="333333"/>
          <w:sz w:val="22"/>
          <w:szCs w:val="22"/>
        </w:rPr>
        <w:t xml:space="preserve">The Web3 To-Do Contract addresses this problem by deploying task management logic onto the Ethereum blockchain. Once a task is written to the contract, it is cryptographically secured and permanently timestamped. No administrator, company, or third party can alter or delete it. The user's wallet address serves as their identity — no username or password is required.</w:t>
      </w:r>
    </w:p>
    <w:p>
      <w:pPr>
        <w:spacing w:after="120" w:before="0" w:line="300"/>
        <w:jc w:val="both"/>
      </w:pPr>
      <w:r>
        <w:rPr>
          <w:rFonts w:ascii="Calibri" w:cs="Calibri" w:eastAsia="Calibri" w:hAnsi="Calibri"/>
          <w:color w:val="333333"/>
          <w:sz w:val="22"/>
          <w:szCs w:val="22"/>
        </w:rPr>
        <w:t xml:space="preserve">This report documents the complete lifecycle of the project: the smart contract design rationale, the CRUD function architecture, the deployment process on Sepolia testnet, and the frontend integration. The project was developed entirely using free, open-source tools, with no real cryptocurrency required at any stage.</w:t>
      </w:r>
    </w:p>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2. Project Description</w:t>
      </w:r>
    </w:p>
    <w:p>
      <w:pPr>
        <w:spacing w:after="120" w:before="0" w:line="300"/>
        <w:jc w:val="both"/>
      </w:pPr>
      <w:r>
        <w:rPr>
          <w:rFonts w:ascii="Calibri" w:cs="Calibri" w:eastAsia="Calibri" w:hAnsi="Calibri"/>
          <w:color w:val="333333"/>
          <w:sz w:val="22"/>
          <w:szCs w:val="22"/>
        </w:rPr>
        <w:t xml:space="preserve">The DApp (Decentralized Application) allows any Ethereum wallet holder to perform the following operations on their personal task list:</w:t>
      </w:r>
    </w:p>
    <w:p>
      <w:pPr>
        <w:pStyle w:val="ListParagraph"/>
        <w:numPr>
          <w:ilvl w:val="0"/>
          <w:numId w:val="2"/>
        </w:numPr>
        <w:spacing w:after="60" w:before="0" w:line="276"/>
      </w:pPr>
      <w:r>
        <w:rPr>
          <w:rFonts w:ascii="Calibri" w:cs="Calibri" w:eastAsia="Calibri" w:hAnsi="Calibri"/>
          <w:color w:val="333333"/>
          <w:sz w:val="22"/>
          <w:szCs w:val="22"/>
        </w:rPr>
        <w:t xml:space="preserve">Create new tasks with a text description</w:t>
      </w:r>
    </w:p>
    <w:p>
      <w:pPr>
        <w:pStyle w:val="ListParagraph"/>
        <w:numPr>
          <w:ilvl w:val="0"/>
          <w:numId w:val="2"/>
        </w:numPr>
        <w:spacing w:after="60" w:before="0" w:line="276"/>
      </w:pPr>
      <w:r>
        <w:rPr>
          <w:rFonts w:ascii="Calibri" w:cs="Calibri" w:eastAsia="Calibri" w:hAnsi="Calibri"/>
          <w:color w:val="333333"/>
          <w:sz w:val="22"/>
          <w:szCs w:val="22"/>
        </w:rPr>
        <w:t xml:space="preserve">Read their tasks by wallet address — no other user can access them</w:t>
      </w:r>
    </w:p>
    <w:p>
      <w:pPr>
        <w:pStyle w:val="ListParagraph"/>
        <w:numPr>
          <w:ilvl w:val="0"/>
          <w:numId w:val="2"/>
        </w:numPr>
        <w:spacing w:after="60" w:before="0" w:line="276"/>
      </w:pPr>
      <w:r>
        <w:rPr>
          <w:rFonts w:ascii="Calibri" w:cs="Calibri" w:eastAsia="Calibri" w:hAnsi="Calibri"/>
          <w:color w:val="333333"/>
          <w:sz w:val="22"/>
          <w:szCs w:val="22"/>
        </w:rPr>
        <w:t xml:space="preserve">Update tasks by toggling completion status or editing content</w:t>
      </w:r>
    </w:p>
    <w:p>
      <w:pPr>
        <w:pStyle w:val="ListParagraph"/>
        <w:numPr>
          <w:ilvl w:val="0"/>
          <w:numId w:val="2"/>
        </w:numPr>
        <w:spacing w:after="60" w:before="0" w:line="276"/>
      </w:pPr>
      <w:r>
        <w:rPr>
          <w:rFonts w:ascii="Calibri" w:cs="Calibri" w:eastAsia="Calibri" w:hAnsi="Calibri"/>
          <w:color w:val="333333"/>
          <w:sz w:val="22"/>
          <w:szCs w:val="22"/>
        </w:rPr>
        <w:t xml:space="preserve">Delete tasks through a gas-efficient soft-delete mechanism</w:t>
      </w:r>
    </w:p>
    <w:p>
      <w:pPr>
        <w:spacing w:after="80" w:before="0"/>
      </w:pPr>
      <w:r>
        <w:t xml:space="preserve"/>
      </w:r>
    </w:p>
    <w:p>
      <w:pPr>
        <w:spacing w:after="120" w:before="0" w:line="300"/>
        <w:jc w:val="both"/>
      </w:pPr>
      <w:r>
        <w:rPr>
          <w:rFonts w:ascii="Calibri" w:cs="Calibri" w:eastAsia="Calibri" w:hAnsi="Calibri"/>
          <w:color w:val="333333"/>
          <w:sz w:val="22"/>
          <w:szCs w:val="22"/>
        </w:rPr>
        <w:t xml:space="preserve">Each task is linked exclusively to the wallet address that created it. The blockchain provides identity verification automatically through cryptographic wallet signatures — there is no login system, no password, and no central authority managing access.</w:t>
      </w:r>
    </w:p>
    <w:p>
      <w:pPr>
        <w:spacing w:after="120" w:before="0" w:line="300"/>
        <w:jc w:val="both"/>
      </w:pPr>
      <w:r>
        <w:rPr>
          <w:rFonts w:ascii="Calibri" w:cs="Calibri" w:eastAsia="Calibri" w:hAnsi="Calibri"/>
          <w:color w:val="333333"/>
          <w:sz w:val="22"/>
          <w:szCs w:val="22"/>
        </w:rPr>
        <w:t xml:space="preserve">The system is designed for individuals who want full, verifiable ownership over their productivity data. All contract logic is publicly readable on Sepolia Etherscan, meaning anyone can independently confirm that the ownership rules work exactly as described — without trusting the developers.</w:t>
      </w:r>
    </w:p>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3. Smart Contract Design</w:t>
      </w:r>
    </w:p>
    <w:p>
      <w:pPr>
        <w:pStyle w:val="Heading2"/>
        <w:spacing w:after="120" w:before="280" w:line="276"/>
      </w:pPr>
      <w:r>
        <w:rPr>
          <w:rFonts w:ascii="Calibri" w:cs="Calibri" w:eastAsia="Calibri" w:hAnsi="Calibri"/>
          <w:b/>
          <w:bCs/>
          <w:color w:val="2E75B6"/>
          <w:sz w:val="28"/>
          <w:szCs w:val="28"/>
        </w:rPr>
        <w:t xml:space="preserve">3.1 Data Structures</w:t>
      </w:r>
    </w:p>
    <w:p>
      <w:pPr>
        <w:spacing w:after="120" w:before="0" w:line="300"/>
        <w:jc w:val="both"/>
      </w:pPr>
      <w:r>
        <w:rPr>
          <w:rFonts w:ascii="Calibri" w:cs="Calibri" w:eastAsia="Calibri" w:hAnsi="Calibri"/>
          <w:color w:val="333333"/>
          <w:sz w:val="22"/>
          <w:szCs w:val="22"/>
        </w:rPr>
        <w:t xml:space="preserve">The contract TodoContract.sol organizes all data around three core Solidity constructs. The design prioritizes gas efficiency and O(1) access patterns: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0B0CC" w:sz="1"/>
              <w:left w:val="single" w:color="90B0CC" w:sz="1"/>
              <w:bottom w:val="single" w:color="90B0CC" w:sz="1"/>
              <w:right w:val="single" w:color="90B0CC" w:sz="1"/>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Construct</w:t>
            </w:r>
          </w:p>
        </w:tc>
        <w:tc>
          <w:tcPr>
            <w:tcW w:type="dxa" w:w="6760"/>
            <w:tcBorders>
              <w:top w:val="single" w:color="90B0CC" w:sz="1"/>
              <w:left w:val="single" w:color="90B0CC" w:sz="1"/>
              <w:bottom w:val="single" w:color="90B0CC" w:sz="1"/>
              <w:right w:val="single" w:color="90B0CC" w:sz="1"/>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6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ourier New" w:cs="Courier New" w:eastAsia="Courier New" w:hAnsi="Courier New"/>
                <w:color w:val="1A5276"/>
                <w:sz w:val="18"/>
                <w:szCs w:val="18"/>
              </w:rPr>
              <w:t xml:space="preserve">struct Task</w:t>
            </w:r>
          </w:p>
        </w:tc>
        <w:tc>
          <w:tcPr>
            <w:tcW w:type="dxa" w:w="676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Bundles three fields: content (string, max 280 bytes), isCompleted (bool, false = pending / true = done), and owner (address). Grouping related data into a struct keeps storage organized and gas costs predictable.</w:t>
            </w:r>
          </w:p>
        </w:tc>
      </w:tr>
      <w:tr>
        <w:tc>
          <w:tcPr>
            <w:tcW w:type="dxa" w:w="26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ourier New" w:cs="Courier New" w:eastAsia="Courier New" w:hAnsi="Courier New"/>
                <w:color w:val="1A5276"/>
                <w:sz w:val="18"/>
                <w:szCs w:val="18"/>
              </w:rPr>
              <w:t xml:space="preserve">mapping(uint256 =&gt; Task)</w:t>
            </w:r>
          </w:p>
        </w:tc>
        <w:tc>
          <w:tcPr>
            <w:tcW w:type="dxa" w:w="676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Maps each unique task ID — an auto-incremented uint256 key — to its Task struct. Mappings provide O(1) lookup by ID, far cheaper on-chain than iterating an array.</w:t>
            </w:r>
          </w:p>
        </w:tc>
      </w:tr>
      <w:tr>
        <w:tc>
          <w:tcPr>
            <w:tcW w:type="dxa" w:w="26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ourier New" w:cs="Courier New" w:eastAsia="Courier New" w:hAnsi="Courier New"/>
                <w:color w:val="1A5276"/>
                <w:sz w:val="18"/>
                <w:szCs w:val="18"/>
              </w:rPr>
              <w:t xml:space="preserve">mapping(address =&gt; uint256[])</w:t>
            </w:r>
          </w:p>
        </w:tc>
        <w:tc>
          <w:tcPr>
            <w:tcW w:type="dxa" w:w="676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Maps each wallet address to the list of task IDs that address has created. Allows the contract to return only the tasks belonging to the caller.</w:t>
            </w:r>
          </w:p>
        </w:tc>
      </w:tr>
      <w:tr>
        <w:tc>
          <w:tcPr>
            <w:tcW w:type="dxa" w:w="26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ourier New" w:cs="Courier New" w:eastAsia="Courier New" w:hAnsi="Courier New"/>
                <w:color w:val="1A5276"/>
                <w:sz w:val="18"/>
                <w:szCs w:val="18"/>
              </w:rPr>
              <w:t xml:space="preserve">uint256 taskCount</w:t>
            </w:r>
          </w:p>
        </w:tc>
        <w:tc>
          <w:tcPr>
            <w:tcW w:type="dxa" w:w="676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 global counter incremented on every createTask call. Serves as the next available ID (IDs start at 1) and lets the frontend know the total number of tasks without scanning storage.</w:t>
            </w:r>
          </w:p>
        </w:tc>
      </w:tr>
    </w:tbl>
    <w:p>
      <w:pPr>
        <w:spacing w:after="120" w:before="0"/>
      </w:pPr>
      <w:r>
        <w:t xml:space="preserve"/>
      </w:r>
    </w:p>
    <w:p>
      <w:pPr>
        <w:pStyle w:val="Heading2"/>
        <w:spacing w:after="120" w:before="280" w:line="276"/>
      </w:pPr>
      <w:r>
        <w:rPr>
          <w:rFonts w:ascii="Calibri" w:cs="Calibri" w:eastAsia="Calibri" w:hAnsi="Calibri"/>
          <w:b/>
          <w:bCs/>
          <w:color w:val="2E75B6"/>
          <w:sz w:val="28"/>
          <w:szCs w:val="28"/>
        </w:rPr>
        <w:t xml:space="preserve">3.2 Modifiers</w:t>
      </w:r>
    </w:p>
    <w:p>
      <w:pPr>
        <w:spacing w:after="120" w:before="0" w:line="300"/>
        <w:jc w:val="both"/>
      </w:pPr>
      <w:r>
        <w:rPr>
          <w:rFonts w:ascii="Calibri" w:cs="Calibri" w:eastAsia="Calibri" w:hAnsi="Calibri"/>
          <w:color w:val="333333"/>
          <w:sz w:val="22"/>
          <w:szCs w:val="22"/>
        </w:rPr>
        <w:t xml:space="preserve">Two custom modifiers enforce access control and data validity before any state-changing function executes:</w:t>
      </w:r>
    </w:p>
    <w:p>
      <w:pPr>
        <w:pStyle w:val="ListParagraph"/>
        <w:numPr>
          <w:ilvl w:val="0"/>
          <w:numId w:val="2"/>
        </w:numPr>
        <w:spacing w:after="60" w:before="0" w:line="276"/>
      </w:pPr>
      <w:r>
        <w:rPr>
          <w:rFonts w:ascii="Calibri" w:cs="Calibri" w:eastAsia="Calibri" w:hAnsi="Calibri"/>
          <w:color w:val="333333"/>
          <w:sz w:val="22"/>
          <w:szCs w:val="22"/>
        </w:rPr>
        <w:t xml:space="preserve">onlyOwner(uint256 _id) — verifies that msg.sender matches the stored task owner address. Any unauthorized attempt reverts with the message 'Not the task owner'.</w:t>
      </w:r>
    </w:p>
    <w:p>
      <w:pPr>
        <w:pStyle w:val="ListParagraph"/>
        <w:numPr>
          <w:ilvl w:val="0"/>
          <w:numId w:val="2"/>
        </w:numPr>
        <w:spacing w:after="60" w:before="0" w:line="276"/>
      </w:pPr>
      <w:r>
        <w:rPr>
          <w:rFonts w:ascii="Calibri" w:cs="Calibri" w:eastAsia="Calibri" w:hAnsi="Calibri"/>
          <w:color w:val="333333"/>
          <w:sz w:val="22"/>
          <w:szCs w:val="22"/>
        </w:rPr>
        <w:t xml:space="preserve">taskExists(uint256 _id) — verifies the task ID is within range and that the task has not been deleted (owner != address(0)). Prevents operations on invalid or soft-deleted tasks.</w:t>
      </w:r>
    </w:p>
    <w:p>
      <w:pPr>
        <w:spacing w:after="120" w:before="0"/>
      </w:pPr>
      <w:r>
        <w:t xml:space="preserve"/>
      </w:r>
    </w:p>
    <w:p>
      <w:pPr>
        <w:pStyle w:val="Heading2"/>
        <w:spacing w:after="120" w:before="280" w:line="276"/>
      </w:pPr>
      <w:r>
        <w:rPr>
          <w:rFonts w:ascii="Calibri" w:cs="Calibri" w:eastAsia="Calibri" w:hAnsi="Calibri"/>
          <w:b/>
          <w:bCs/>
          <w:color w:val="2E75B6"/>
          <w:sz w:val="28"/>
          <w:szCs w:val="28"/>
        </w:rPr>
        <w:t xml:space="preserve">3.3 CRUD Operations</w:t>
      </w:r>
    </w:p>
    <w:p>
      <w:pPr>
        <w:spacing w:after="120" w:before="0" w:line="300"/>
        <w:jc w:val="both"/>
      </w:pPr>
      <w:r>
        <w:rPr>
          <w:rFonts w:ascii="Calibri" w:cs="Calibri" w:eastAsia="Calibri" w:hAnsi="Calibri"/>
          <w:color w:val="333333"/>
          <w:sz w:val="22"/>
          <w:szCs w:val="22"/>
        </w:rPr>
        <w:t xml:space="preserve">Every interaction with the contract maps to one of the four CRUD categories. The table below summarizes each function: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300"/>
        <w:gridCol w:w="4460"/>
      </w:tblGrid>
      <w:tr>
        <w:trPr>
          <w:tblHeader/>
        </w:trPr>
        <w:tc>
          <w:tcPr>
            <w:tcW w:type="dxa" w:w="1100"/>
            <w:tcBorders>
              <w:top w:val="single" w:color="C0D0E0" w:sz="1"/>
              <w:left w:val="single" w:color="C0D0E0" w:sz="1"/>
              <w:bottom w:val="single" w:color="C0D0E0" w:sz="1"/>
              <w:right w:val="single" w:color="C0D0E0"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CRUD</w:t>
            </w:r>
          </w:p>
        </w:tc>
        <w:tc>
          <w:tcPr>
            <w:tcW w:type="dxa" w:w="2400"/>
            <w:tcBorders>
              <w:top w:val="single" w:color="C0D0E0" w:sz="1"/>
              <w:left w:val="single" w:color="C0D0E0" w:sz="1"/>
              <w:bottom w:val="single" w:color="C0D0E0" w:sz="1"/>
              <w:right w:val="single" w:color="C0D0E0"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c>
          <w:tcPr>
            <w:tcW w:type="dxa" w:w="1300"/>
            <w:tcBorders>
              <w:top w:val="single" w:color="C0D0E0" w:sz="1"/>
              <w:left w:val="single" w:color="C0D0E0" w:sz="1"/>
              <w:bottom w:val="single" w:color="C0D0E0" w:sz="1"/>
              <w:right w:val="single" w:color="C0D0E0"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Visibility</w:t>
            </w:r>
          </w:p>
        </w:tc>
        <w:tc>
          <w:tcPr>
            <w:tcW w:type="dxa" w:w="4560"/>
            <w:tcBorders>
              <w:top w:val="single" w:color="C0D0E0" w:sz="1"/>
              <w:left w:val="single" w:color="C0D0E0" w:sz="1"/>
              <w:bottom w:val="single" w:color="C0D0E0" w:sz="1"/>
              <w:right w:val="single" w:color="C0D0E0"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tblHeader w:val="false"/>
        </w:trPr>
        <w:tc>
          <w:tcPr>
            <w:tcW w:type="dxa" w:w="11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Create</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createTask(string)</w:t>
            </w:r>
          </w:p>
        </w:tc>
        <w:tc>
          <w:tcPr>
            <w:tcW w:type="dxa" w:w="13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public</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Accepts a task string, validates length (1-280 bytes), increments taskCount, stores a new Task struct with msg.sender as owner, and emits TaskCreated.</w:t>
            </w:r>
          </w:p>
        </w:tc>
      </w:tr>
      <w:tr>
        <w:trPr>
          <w:tblHeader w:val="false"/>
        </w:trPr>
        <w:tc>
          <w:tcPr>
            <w:tcW w:type="dxa" w:w="11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Read</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getTask(uint256)</w:t>
            </w:r>
          </w:p>
        </w:tc>
        <w:tc>
          <w:tcPr>
            <w:tcW w:type="dxa" w:w="13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public view</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Returns the content, isCompleted bool, and owner address for a given task ID. View functions cost zero gas when called off-chain.</w:t>
            </w:r>
          </w:p>
        </w:tc>
      </w:tr>
      <w:tr>
        <w:trPr>
          <w:tblHeader w:val="false"/>
        </w:trPr>
        <w:tc>
          <w:tcPr>
            <w:tcW w:type="dxa" w:w="11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Read</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getMyTasks()</w:t>
            </w:r>
          </w:p>
        </w:tc>
        <w:tc>
          <w:tcPr>
            <w:tcW w:type="dxa" w:w="13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public view</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Returns the full array of task IDs belonging to msg.sender, allowing the frontend to batch-fetch the caller's tasks.</w:t>
            </w:r>
          </w:p>
        </w:tc>
      </w:tr>
      <w:tr>
        <w:trPr>
          <w:tblHeader w:val="false"/>
        </w:trPr>
        <w:tc>
          <w:tcPr>
            <w:tcW w:type="dxa" w:w="11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Update</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toggleTask(uint256)</w:t>
            </w:r>
          </w:p>
        </w:tc>
        <w:tc>
          <w:tcPr>
            <w:tcW w:type="dxa" w:w="13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public</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Flips isCompleted from false to true or back. The onlyOwner and taskExists modifiers enforce that only the creator can toggle their own task.</w:t>
            </w:r>
          </w:p>
        </w:tc>
      </w:tr>
      <w:tr>
        <w:trPr>
          <w:tblHeader w:val="false"/>
        </w:trPr>
        <w:tc>
          <w:tcPr>
            <w:tcW w:type="dxa" w:w="11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Update</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editTask(uint256, string)</w:t>
            </w:r>
          </w:p>
        </w:tc>
        <w:tc>
          <w:tcPr>
            <w:tcW w:type="dxa" w:w="13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public</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Replaces the content string of an existing task. Ownership and existence are verified before the write, and a TaskEdited event is emitted.</w:t>
            </w:r>
          </w:p>
        </w:tc>
      </w:tr>
      <w:tr>
        <w:trPr>
          <w:tblHeader w:val="false"/>
        </w:trPr>
        <w:tc>
          <w:tcPr>
            <w:tcW w:type="dxa" w:w="11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Delete</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deleteTask(uint256)</w:t>
            </w:r>
          </w:p>
        </w:tc>
        <w:tc>
          <w:tcPr>
            <w:tcW w:type="dxa" w:w="13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public</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Resets the Task struct to Solidity defaults using delete. Since blockchain storage is immutable, resetting is the gas-efficient soft-delete equivalent.</w:t>
            </w:r>
          </w:p>
        </w:tc>
      </w:tr>
    </w:tbl>
    <w:p>
      <w:pPr>
        <w:spacing w:after="120" w:before="0"/>
      </w:pPr>
      <w:r>
        <w:t xml:space="preserve"/>
      </w:r>
    </w:p>
    <w:p>
      <w:pPr>
        <w:pStyle w:val="Heading2"/>
        <w:spacing w:after="120" w:before="280" w:line="276"/>
      </w:pPr>
      <w:r>
        <w:rPr>
          <w:rFonts w:ascii="Calibri" w:cs="Calibri" w:eastAsia="Calibri" w:hAnsi="Calibri"/>
          <w:b/>
          <w:bCs/>
          <w:color w:val="2E75B6"/>
          <w:sz w:val="28"/>
          <w:szCs w:val="28"/>
        </w:rPr>
        <w:t xml:space="preserve">3.4 Code Walkthrough</w:t>
      </w:r>
    </w:p>
    <w:p>
      <w:pPr>
        <w:pStyle w:val="Heading3"/>
        <w:spacing w:after="80" w:before="200" w:line="276"/>
      </w:pPr>
      <w:r>
        <w:rPr>
          <w:rFonts w:ascii="Calibri" w:cs="Calibri" w:eastAsia="Calibri" w:hAnsi="Calibri"/>
          <w:b/>
          <w:bCs/>
          <w:color w:val="2C5F8A"/>
          <w:sz w:val="24"/>
          <w:szCs w:val="24"/>
        </w:rPr>
        <w:t xml:space="preserve">Task Struct and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0D1117" w:val="clear"/>
            <w:tcMar>
              <w:top w:type="dxa" w:w="120"/>
              <w:left w:type="dxa" w:w="200"/>
              <w:bottom w:type="dxa" w:w="120"/>
              <w:right w:type="dxa" w:w="200"/>
            </w:tcMar>
          </w:tcPr>
          <w:p>
            <w:pPr>
              <w:spacing w:after="20" w:before="0" w:line="240"/>
            </w:pPr>
            <w:r>
              <w:rPr>
                <w:rFonts w:ascii="Courier New" w:cs="Courier New" w:eastAsia="Courier New" w:hAnsi="Courier New"/>
                <w:color w:val="E6EDF3"/>
                <w:sz w:val="18"/>
                <w:szCs w:val="18"/>
              </w:rPr>
              <w:t xml:space="preserve">// SPDX-License-Identifier: MIT</w:t>
            </w:r>
          </w:p>
          <w:p>
            <w:pPr>
              <w:spacing w:after="20" w:before="0" w:line="240"/>
            </w:pPr>
            <w:r>
              <w:rPr>
                <w:rFonts w:ascii="Courier New" w:cs="Courier New" w:eastAsia="Courier New" w:hAnsi="Courier New"/>
                <w:color w:val="E6EDF3"/>
                <w:sz w:val="18"/>
                <w:szCs w:val="18"/>
              </w:rPr>
              <w:t xml:space="preserve">pragma solidity ^0.8.19;</w:t>
            </w:r>
          </w:p>
          <w:p>
            <w:pPr>
              <w:spacing w:after="20" w:before="0" w:line="240"/>
            </w:pPr>
            <w:r>
              <w:rPr>
                <w:rFonts w:ascii="Courier New" w:cs="Courier New" w:eastAsia="Courier New" w:hAnsi="Courier New"/>
                <w:color w:val="E6EDF3"/>
                <w:sz w:val="18"/>
                <w:szCs w:val="18"/>
              </w:rPr>
              <w:t xml:space="preserve"/>
            </w:r>
          </w:p>
          <w:p>
            <w:pPr>
              <w:spacing w:after="20" w:before="0" w:line="240"/>
            </w:pPr>
            <w:r>
              <w:rPr>
                <w:rFonts w:ascii="Courier New" w:cs="Courier New" w:eastAsia="Courier New" w:hAnsi="Courier New"/>
                <w:color w:val="E6EDF3"/>
                <w:sz w:val="18"/>
                <w:szCs w:val="18"/>
              </w:rPr>
              <w:t xml:space="preserve">contract TodoContract {</w:t>
            </w:r>
          </w:p>
          <w:p>
            <w:pPr>
              <w:spacing w:after="20" w:before="0" w:line="240"/>
            </w:pPr>
            <w:r>
              <w:rPr>
                <w:rFonts w:ascii="Courier New" w:cs="Courier New" w:eastAsia="Courier New" w:hAnsi="Courier New"/>
                <w:color w:val="E6EDF3"/>
                <w:sz w:val="18"/>
                <w:szCs w:val="18"/>
              </w:rPr>
              <w:t xml:space="preserve"/>
            </w:r>
          </w:p>
          <w:p>
            <w:pPr>
              <w:spacing w:after="20" w:before="0" w:line="240"/>
            </w:pPr>
            <w:r>
              <w:rPr>
                <w:rFonts w:ascii="Courier New" w:cs="Courier New" w:eastAsia="Courier New" w:hAnsi="Courier New"/>
                <w:color w:val="E6EDF3"/>
                <w:sz w:val="18"/>
                <w:szCs w:val="18"/>
              </w:rPr>
              <w:t xml:space="preserve">    struct Task {</w:t>
            </w:r>
          </w:p>
          <w:p>
            <w:pPr>
              <w:spacing w:after="20" w:before="0" w:line="240"/>
            </w:pPr>
            <w:r>
              <w:rPr>
                <w:rFonts w:ascii="Courier New" w:cs="Courier New" w:eastAsia="Courier New" w:hAnsi="Courier New"/>
                <w:color w:val="E6EDF3"/>
                <w:sz w:val="18"/>
                <w:szCs w:val="18"/>
              </w:rPr>
              <w:t xml:space="preserve">        string  content;      // Task description (max 280 bytes)</w:t>
            </w:r>
          </w:p>
          <w:p>
            <w:pPr>
              <w:spacing w:after="20" w:before="0" w:line="240"/>
            </w:pPr>
            <w:r>
              <w:rPr>
                <w:rFonts w:ascii="Courier New" w:cs="Courier New" w:eastAsia="Courier New" w:hAnsi="Courier New"/>
                <w:color w:val="E6EDF3"/>
                <w:sz w:val="18"/>
                <w:szCs w:val="18"/>
              </w:rPr>
              <w:t xml:space="preserve">        bool    isCompleted;  // false = pending | true = done</w:t>
            </w:r>
          </w:p>
          <w:p>
            <w:pPr>
              <w:spacing w:after="20" w:before="0" w:line="240"/>
            </w:pPr>
            <w:r>
              <w:rPr>
                <w:rFonts w:ascii="Courier New" w:cs="Courier New" w:eastAsia="Courier New" w:hAnsi="Courier New"/>
                <w:color w:val="E6EDF3"/>
                <w:sz w:val="18"/>
                <w:szCs w:val="18"/>
              </w:rPr>
              <w:t xml:space="preserve">        address owner;        // Wallet that created this task</w:t>
            </w:r>
          </w:p>
          <w:p>
            <w:pPr>
              <w:spacing w:after="20" w:before="0" w:line="240"/>
            </w:pPr>
            <w:r>
              <w:rPr>
                <w:rFonts w:ascii="Courier New" w:cs="Courier New" w:eastAsia="Courier New" w:hAnsi="Courier New"/>
                <w:color w:val="E6EDF3"/>
                <w:sz w:val="18"/>
                <w:szCs w:val="18"/>
              </w:rPr>
              <w:t xml:space="preserve">    }</w:t>
            </w:r>
          </w:p>
          <w:p>
            <w:pPr>
              <w:spacing w:after="20" w:before="0" w:line="240"/>
            </w:pPr>
            <w:r>
              <w:rPr>
                <w:rFonts w:ascii="Courier New" w:cs="Courier New" w:eastAsia="Courier New" w:hAnsi="Courier New"/>
                <w:color w:val="E6EDF3"/>
                <w:sz w:val="18"/>
                <w:szCs w:val="18"/>
              </w:rPr>
              <w:t xml:space="preserve"/>
            </w:r>
          </w:p>
          <w:p>
            <w:pPr>
              <w:spacing w:after="20" w:before="0" w:line="240"/>
            </w:pPr>
            <w:r>
              <w:rPr>
                <w:rFonts w:ascii="Courier New" w:cs="Courier New" w:eastAsia="Courier New" w:hAnsi="Courier New"/>
                <w:color w:val="E6EDF3"/>
                <w:sz w:val="18"/>
                <w:szCs w:val="18"/>
              </w:rPr>
              <w:t xml:space="preserve">    uint256 public taskCount;</w:t>
            </w:r>
          </w:p>
          <w:p>
            <w:pPr>
              <w:spacing w:after="20" w:before="0" w:line="240"/>
            </w:pPr>
            <w:r>
              <w:rPr>
                <w:rFonts w:ascii="Courier New" w:cs="Courier New" w:eastAsia="Courier New" w:hAnsi="Courier New"/>
                <w:color w:val="E6EDF3"/>
                <w:sz w:val="18"/>
                <w:szCs w:val="18"/>
              </w:rPr>
              <w:t xml:space="preserve">    mapping(uint256 =&gt; Task)       public tasks;</w:t>
            </w:r>
          </w:p>
          <w:p>
            <w:pPr>
              <w:spacing w:after="20" w:before="0" w:line="240"/>
            </w:pPr>
            <w:r>
              <w:rPr>
                <w:rFonts w:ascii="Courier New" w:cs="Courier New" w:eastAsia="Courier New" w:hAnsi="Courier New"/>
                <w:color w:val="E6EDF3"/>
                <w:sz w:val="18"/>
                <w:szCs w:val="18"/>
              </w:rPr>
              <w:t xml:space="preserve">    mapping(address =&gt; uint256[]) private ownerTasks;</w:t>
            </w:r>
          </w:p>
          <w:p>
            <w:pPr>
              <w:spacing w:after="20" w:before="0" w:line="240"/>
            </w:pPr>
            <w:r>
              <w:rPr>
                <w:rFonts w:ascii="Courier New" w:cs="Courier New" w:eastAsia="Courier New" w:hAnsi="Courier New"/>
                <w:color w:val="E6EDF3"/>
                <w:sz w:val="18"/>
                <w:szCs w:val="18"/>
              </w:rPr>
              <w:t xml:space="preserve"/>
            </w:r>
          </w:p>
          <w:p>
            <w:pPr>
              <w:spacing w:after="20" w:before="0" w:line="240"/>
            </w:pPr>
            <w:r>
              <w:rPr>
                <w:rFonts w:ascii="Courier New" w:cs="Courier New" w:eastAsia="Courier New" w:hAnsi="Courier New"/>
                <w:color w:val="E6EDF3"/>
                <w:sz w:val="18"/>
                <w:szCs w:val="18"/>
              </w:rPr>
              <w:t xml:space="preserve">    event TaskCreated(uint256 indexed id, address indexed owner, string content);</w:t>
            </w:r>
          </w:p>
          <w:p>
            <w:pPr>
              <w:spacing w:after="20" w:before="0" w:line="240"/>
            </w:pPr>
            <w:r>
              <w:rPr>
                <w:rFonts w:ascii="Courier New" w:cs="Courier New" w:eastAsia="Courier New" w:hAnsi="Courier New"/>
                <w:color w:val="E6EDF3"/>
                <w:sz w:val="18"/>
                <w:szCs w:val="18"/>
              </w:rPr>
              <w:t xml:space="preserve">    event TaskToggled(uint256 indexed id, bool isCompleted);</w:t>
            </w:r>
          </w:p>
          <w:p>
            <w:pPr>
              <w:spacing w:after="20" w:before="0" w:line="240"/>
            </w:pPr>
            <w:r>
              <w:rPr>
                <w:rFonts w:ascii="Courier New" w:cs="Courier New" w:eastAsia="Courier New" w:hAnsi="Courier New"/>
                <w:color w:val="E6EDF3"/>
                <w:sz w:val="18"/>
                <w:szCs w:val="18"/>
              </w:rPr>
              <w:t xml:space="preserve">    event TaskEdited(uint256 indexed id, string newContent);</w:t>
            </w:r>
          </w:p>
          <w:p>
            <w:pPr>
              <w:spacing w:after="20" w:before="0" w:line="240"/>
            </w:pPr>
            <w:r>
              <w:rPr>
                <w:rFonts w:ascii="Courier New" w:cs="Courier New" w:eastAsia="Courier New" w:hAnsi="Courier New"/>
                <w:color w:val="E6EDF3"/>
                <w:sz w:val="18"/>
                <w:szCs w:val="18"/>
              </w:rPr>
              <w:t xml:space="preserve">    event TaskDeleted(uint256 indexed id);</w:t>
            </w:r>
          </w:p>
        </w:tc>
      </w:tr>
    </w:tbl>
    <w:p>
      <w:pPr>
        <w:spacing w:after="120" w:before="0"/>
      </w:pPr>
      <w:r>
        <w:t xml:space="preserve"/>
      </w:r>
    </w:p>
    <w:p>
      <w:pPr>
        <w:pStyle w:val="Heading3"/>
        <w:spacing w:after="80" w:before="200" w:line="276"/>
      </w:pPr>
      <w:r>
        <w:rPr>
          <w:rFonts w:ascii="Calibri" w:cs="Calibri" w:eastAsia="Calibri" w:hAnsi="Calibri"/>
          <w:b/>
          <w:bCs/>
          <w:color w:val="2C5F8A"/>
          <w:sz w:val="24"/>
          <w:szCs w:val="24"/>
        </w:rPr>
        <w:t xml:space="preserve">createTask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0D1117" w:val="clear"/>
            <w:tcMar>
              <w:top w:type="dxa" w:w="120"/>
              <w:left w:type="dxa" w:w="200"/>
              <w:bottom w:type="dxa" w:w="120"/>
              <w:right w:type="dxa" w:w="200"/>
            </w:tcMar>
          </w:tcPr>
          <w:p>
            <w:pPr>
              <w:spacing w:after="20" w:before="0" w:line="240"/>
            </w:pPr>
            <w:r>
              <w:rPr>
                <w:rFonts w:ascii="Courier New" w:cs="Courier New" w:eastAsia="Courier New" w:hAnsi="Courier New"/>
                <w:color w:val="E6EDF3"/>
                <w:sz w:val="18"/>
                <w:szCs w:val="18"/>
              </w:rPr>
              <w:t xml:space="preserve">function createTask(string memory _content) public {</w:t>
            </w:r>
          </w:p>
          <w:p>
            <w:pPr>
              <w:spacing w:after="20" w:before="0" w:line="240"/>
            </w:pPr>
            <w:r>
              <w:rPr>
                <w:rFonts w:ascii="Courier New" w:cs="Courier New" w:eastAsia="Courier New" w:hAnsi="Courier New"/>
                <w:color w:val="E6EDF3"/>
                <w:sz w:val="18"/>
                <w:szCs w:val="18"/>
              </w:rPr>
              <w:t xml:space="preserve">    require(bytes(_content).length &gt; 0,   "Task cannot be empty");</w:t>
            </w:r>
          </w:p>
          <w:p>
            <w:pPr>
              <w:spacing w:after="20" w:before="0" w:line="240"/>
            </w:pPr>
            <w:r>
              <w:rPr>
                <w:rFonts w:ascii="Courier New" w:cs="Courier New" w:eastAsia="Courier New" w:hAnsi="Courier New"/>
                <w:color w:val="E6EDF3"/>
                <w:sz w:val="18"/>
                <w:szCs w:val="18"/>
              </w:rPr>
              <w:t xml:space="preserve">    require(bytes(_content).length &lt;= 280, "Content too long (max 280 chars)");</w:t>
            </w:r>
          </w:p>
          <w:p>
            <w:pPr>
              <w:spacing w:after="20" w:before="0" w:line="240"/>
            </w:pPr>
            <w:r>
              <w:rPr>
                <w:rFonts w:ascii="Courier New" w:cs="Courier New" w:eastAsia="Courier New" w:hAnsi="Courier New"/>
                <w:color w:val="E6EDF3"/>
                <w:sz w:val="18"/>
                <w:szCs w:val="18"/>
              </w:rPr>
              <w:t xml:space="preserve"/>
            </w:r>
          </w:p>
          <w:p>
            <w:pPr>
              <w:spacing w:after="20" w:before="0" w:line="240"/>
            </w:pPr>
            <w:r>
              <w:rPr>
                <w:rFonts w:ascii="Courier New" w:cs="Courier New" w:eastAsia="Courier New" w:hAnsi="Courier New"/>
                <w:color w:val="E6EDF3"/>
                <w:sz w:val="18"/>
                <w:szCs w:val="18"/>
              </w:rPr>
              <w:t xml:space="preserve">    taskCount++;</w:t>
            </w:r>
          </w:p>
          <w:p>
            <w:pPr>
              <w:spacing w:after="20" w:before="0" w:line="240"/>
            </w:pPr>
            <w:r>
              <w:rPr>
                <w:rFonts w:ascii="Courier New" w:cs="Courier New" w:eastAsia="Courier New" w:hAnsi="Courier New"/>
                <w:color w:val="E6EDF3"/>
                <w:sz w:val="18"/>
                <w:szCs w:val="18"/>
              </w:rPr>
              <w:t xml:space="preserve"/>
            </w:r>
          </w:p>
          <w:p>
            <w:pPr>
              <w:spacing w:after="20" w:before="0" w:line="240"/>
            </w:pPr>
            <w:r>
              <w:rPr>
                <w:rFonts w:ascii="Courier New" w:cs="Courier New" w:eastAsia="Courier New" w:hAnsi="Courier New"/>
                <w:color w:val="E6EDF3"/>
                <w:sz w:val="18"/>
                <w:szCs w:val="18"/>
              </w:rPr>
              <w:t xml:space="preserve">    tasks[taskCount] = Task({</w:t>
            </w:r>
          </w:p>
          <w:p>
            <w:pPr>
              <w:spacing w:after="20" w:before="0" w:line="240"/>
            </w:pPr>
            <w:r>
              <w:rPr>
                <w:rFonts w:ascii="Courier New" w:cs="Courier New" w:eastAsia="Courier New" w:hAnsi="Courier New"/>
                <w:color w:val="E6EDF3"/>
                <w:sz w:val="18"/>
                <w:szCs w:val="18"/>
              </w:rPr>
              <w:t xml:space="preserve">        content:     _content,</w:t>
            </w:r>
          </w:p>
          <w:p>
            <w:pPr>
              <w:spacing w:after="20" w:before="0" w:line="240"/>
            </w:pPr>
            <w:r>
              <w:rPr>
                <w:rFonts w:ascii="Courier New" w:cs="Courier New" w:eastAsia="Courier New" w:hAnsi="Courier New"/>
                <w:color w:val="E6EDF3"/>
                <w:sz w:val="18"/>
                <w:szCs w:val="18"/>
              </w:rPr>
              <w:t xml:space="preserve">        isCompleted: false,</w:t>
            </w:r>
          </w:p>
          <w:p>
            <w:pPr>
              <w:spacing w:after="20" w:before="0" w:line="240"/>
            </w:pPr>
            <w:r>
              <w:rPr>
                <w:rFonts w:ascii="Courier New" w:cs="Courier New" w:eastAsia="Courier New" w:hAnsi="Courier New"/>
                <w:color w:val="E6EDF3"/>
                <w:sz w:val="18"/>
                <w:szCs w:val="18"/>
              </w:rPr>
              <w:t xml:space="preserve">        owner:       msg.sender</w:t>
            </w:r>
          </w:p>
          <w:p>
            <w:pPr>
              <w:spacing w:after="20" w:before="0" w:line="240"/>
            </w:pPr>
            <w:r>
              <w:rPr>
                <w:rFonts w:ascii="Courier New" w:cs="Courier New" w:eastAsia="Courier New" w:hAnsi="Courier New"/>
                <w:color w:val="E6EDF3"/>
                <w:sz w:val="18"/>
                <w:szCs w:val="18"/>
              </w:rPr>
              <w:t xml:space="preserve">    });</w:t>
            </w:r>
          </w:p>
          <w:p>
            <w:pPr>
              <w:spacing w:after="20" w:before="0" w:line="240"/>
            </w:pPr>
            <w:r>
              <w:rPr>
                <w:rFonts w:ascii="Courier New" w:cs="Courier New" w:eastAsia="Courier New" w:hAnsi="Courier New"/>
                <w:color w:val="E6EDF3"/>
                <w:sz w:val="18"/>
                <w:szCs w:val="18"/>
              </w:rPr>
              <w:t xml:space="preserve"/>
            </w:r>
          </w:p>
          <w:p>
            <w:pPr>
              <w:spacing w:after="20" w:before="0" w:line="240"/>
            </w:pPr>
            <w:r>
              <w:rPr>
                <w:rFonts w:ascii="Courier New" w:cs="Courier New" w:eastAsia="Courier New" w:hAnsi="Courier New"/>
                <w:color w:val="E6EDF3"/>
                <w:sz w:val="18"/>
                <w:szCs w:val="18"/>
              </w:rPr>
              <w:t xml:space="preserve">    ownerTasks[msg.sender].push(taskCount);</w:t>
            </w:r>
          </w:p>
          <w:p>
            <w:pPr>
              <w:spacing w:after="20" w:before="0" w:line="240"/>
            </w:pPr>
            <w:r>
              <w:rPr>
                <w:rFonts w:ascii="Courier New" w:cs="Courier New" w:eastAsia="Courier New" w:hAnsi="Courier New"/>
                <w:color w:val="E6EDF3"/>
                <w:sz w:val="18"/>
                <w:szCs w:val="18"/>
              </w:rPr>
              <w:t xml:space="preserve">    emit TaskCreated(taskCount, msg.sender, _content);</w:t>
            </w:r>
          </w:p>
          <w:p>
            <w:pPr>
              <w:spacing w:after="20" w:before="0" w:line="240"/>
            </w:pPr>
            <w:r>
              <w:rPr>
                <w:rFonts w:ascii="Courier New" w:cs="Courier New" w:eastAsia="Courier New" w:hAnsi="Courier New"/>
                <w:color w:val="E6EDF3"/>
                <w:sz w:val="18"/>
                <w:szCs w:val="18"/>
              </w:rPr>
              <w:t xml:space="preserve">}</w:t>
            </w:r>
          </w:p>
        </w:tc>
      </w:tr>
    </w:tbl>
    <w:p>
      <w:pPr>
        <w:spacing w:after="120" w:before="0"/>
      </w:pPr>
      <w:r>
        <w:t xml:space="preserve"/>
      </w:r>
    </w:p>
    <w:p>
      <w:pPr>
        <w:spacing w:after="120" w:before="0" w:line="300"/>
        <w:jc w:val="both"/>
      </w:pPr>
      <w:r>
        <w:rPr>
          <w:rFonts w:ascii="Calibri" w:cs="Calibri" w:eastAsia="Calibri" w:hAnsi="Calibri"/>
          <w:color w:val="333333"/>
          <w:sz w:val="22"/>
          <w:szCs w:val="22"/>
        </w:rPr>
        <w:t xml:space="preserve">Note on soft-delete: The deleteTask function calls delete tasks[_id], which resets all struct fields to Solidity defaults — empty string, false, and address(0). This is intentional: resetting costs less gas than attempting to remove a mapping entry, and the zeroed record remains publicly auditable on-chain, which is a desirable property for a transparent system.</w:t>
      </w:r>
    </w:p>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4. Technical Rationale</w:t>
      </w:r>
    </w:p>
    <w:p>
      <w:pPr>
        <w:spacing w:after="120" w:before="0" w:line="300"/>
        <w:jc w:val="both"/>
      </w:pPr>
      <w:r>
        <w:rPr>
          <w:rFonts w:ascii="Calibri" w:cs="Calibri" w:eastAsia="Calibri" w:hAnsi="Calibri"/>
          <w:color w:val="333333"/>
          <w:sz w:val="22"/>
          <w:szCs w:val="22"/>
        </w:rPr>
        <w:t xml:space="preserve">Each design decision in the contract reflects a deliberate tradeoff between on-chain cost, security, and usability: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200"/>
            <w:tcBorders>
              <w:top w:val="single" w:color="C0D0E0" w:sz="1"/>
              <w:left w:val="single" w:color="C0D0E0" w:sz="1"/>
              <w:bottom w:val="single" w:color="C0D0E0" w:sz="1"/>
              <w:right w:val="single" w:color="C0D0E0" w:sz="1"/>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Property</w:t>
            </w:r>
          </w:p>
        </w:tc>
        <w:tc>
          <w:tcPr>
            <w:tcW w:type="dxa" w:w="7160"/>
            <w:tcBorders>
              <w:top w:val="single" w:color="C0D0E0" w:sz="1"/>
              <w:left w:val="single" w:color="C0D0E0" w:sz="1"/>
              <w:bottom w:val="single" w:color="C0D0E0" w:sz="1"/>
              <w:right w:val="single" w:color="C0D0E0" w:sz="1"/>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 for a To-Do Contract</w:t>
            </w:r>
          </w:p>
        </w:tc>
      </w:tr>
      <w:tr>
        <w:trPr>
          <w:tblHeader w:val="false"/>
        </w:trPr>
        <w:tc>
          <w:tcPr>
            <w:tcW w:type="dxa" w:w="2200"/>
            <w:tcBorders>
              <w:top w:val="single" w:color="C0D0E0" w:sz="1"/>
              <w:left w:val="single" w:color="C0D0E0" w:sz="1"/>
              <w:bottom w:val="single" w:color="C0D0E0" w:sz="1"/>
              <w:right w:val="single" w:color="C0D0E0" w:sz="1"/>
            </w:tcBorders>
            <w:shd w:fill="F2F7FB" w:val="clear"/>
            <w:tcMar>
              <w:top w:type="dxa" w:w="100"/>
              <w:left w:type="dxa" w:w="120"/>
              <w:bottom w:type="dxa" w:w="100"/>
              <w:right w:type="dxa" w:w="120"/>
            </w:tcMar>
          </w:tcPr>
          <w:p>
            <w:r>
              <w:rPr>
                <w:rFonts w:ascii="Calibri" w:cs="Calibri" w:eastAsia="Calibri" w:hAnsi="Calibri"/>
                <w:b w:val="false"/>
                <w:bCs w:val="false"/>
                <w:color w:val="2E75B6"/>
                <w:sz w:val="20"/>
                <w:szCs w:val="20"/>
              </w:rPr>
              <w:t xml:space="preserve">Immutability</w:t>
            </w:r>
          </w:p>
        </w:tc>
        <w:tc>
          <w:tcPr>
            <w:tcW w:type="dxa" w:w="7160"/>
            <w:tcBorders>
              <w:top w:val="single" w:color="C0D0E0" w:sz="1"/>
              <w:left w:val="single" w:color="C0D0E0" w:sz="1"/>
              <w:bottom w:val="single" w:color="C0D0E0" w:sz="1"/>
              <w:right w:val="single" w:color="C0D0E0" w:sz="1"/>
            </w:tcBorders>
            <w:shd w:fill="FFFFFF" w:val="clear"/>
            <w:tcMar>
              <w:top w:type="dxa" w:w="100"/>
              <w:left w:type="dxa" w:w="120"/>
              <w:bottom w:type="dxa" w:w="100"/>
              <w:right w:type="dxa" w:w="120"/>
            </w:tcMar>
          </w:tcPr>
          <w:p>
            <w:r>
              <w:rPr>
                <w:rFonts w:ascii="Calibri" w:cs="Calibri" w:eastAsia="Calibri" w:hAnsi="Calibri"/>
                <w:b w:val="false"/>
                <w:bCs w:val="false"/>
                <w:color w:val="333333"/>
                <w:sz w:val="20"/>
                <w:szCs w:val="20"/>
              </w:rPr>
              <w:t xml:space="preserve">Once a task is written to the contract, the record is permanently timestamped in a block. No administrator can retroactively alter or fabricate task completion history, providing an unfalsifiable audit trail. This is what separates the system from a conventional database.</w:t>
            </w:r>
          </w:p>
        </w:tc>
      </w:tr>
      <w:tr>
        <w:trPr>
          <w:tblHeader w:val="false"/>
        </w:trPr>
        <w:tc>
          <w:tcPr>
            <w:tcW w:type="dxa" w:w="2200"/>
            <w:tcBorders>
              <w:top w:val="single" w:color="C0D0E0" w:sz="1"/>
              <w:left w:val="single" w:color="C0D0E0" w:sz="1"/>
              <w:bottom w:val="single" w:color="C0D0E0" w:sz="1"/>
              <w:right w:val="single" w:color="C0D0E0" w:sz="1"/>
            </w:tcBorders>
            <w:shd w:fill="F2F7FB" w:val="clear"/>
            <w:tcMar>
              <w:top w:type="dxa" w:w="100"/>
              <w:left w:type="dxa" w:w="120"/>
              <w:bottom w:type="dxa" w:w="100"/>
              <w:right w:type="dxa" w:w="120"/>
            </w:tcMar>
          </w:tcPr>
          <w:p>
            <w:r>
              <w:rPr>
                <w:rFonts w:ascii="Calibri" w:cs="Calibri" w:eastAsia="Calibri" w:hAnsi="Calibri"/>
                <w:b w:val="false"/>
                <w:bCs w:val="false"/>
                <w:color w:val="2E75B6"/>
                <w:sz w:val="20"/>
                <w:szCs w:val="20"/>
              </w:rPr>
              <w:t xml:space="preserve">Data Ownership</w:t>
            </w:r>
          </w:p>
        </w:tc>
        <w:tc>
          <w:tcPr>
            <w:tcW w:type="dxa" w:w="7160"/>
            <w:tcBorders>
              <w:top w:val="single" w:color="C0D0E0" w:sz="1"/>
              <w:left w:val="single" w:color="C0D0E0" w:sz="1"/>
              <w:bottom w:val="single" w:color="C0D0E0" w:sz="1"/>
              <w:right w:val="single" w:color="C0D0E0" w:sz="1"/>
            </w:tcBorders>
            <w:shd w:fill="FFFFFF" w:val="clear"/>
            <w:tcMar>
              <w:top w:type="dxa" w:w="100"/>
              <w:left w:type="dxa" w:w="120"/>
              <w:bottom w:type="dxa" w:w="100"/>
              <w:right w:type="dxa" w:w="120"/>
            </w:tcMar>
          </w:tcPr>
          <w:p>
            <w:r>
              <w:rPr>
                <w:rFonts w:ascii="Calibri" w:cs="Calibri" w:eastAsia="Calibri" w:hAnsi="Calibri"/>
                <w:b w:val="false"/>
                <w:bCs w:val="false"/>
                <w:color w:val="333333"/>
                <w:sz w:val="20"/>
                <w:szCs w:val="20"/>
              </w:rPr>
              <w:t xml:space="preserve">The user's wallet address is the sole key that can modify their own tasks. There is no central server that can be shut down, hacked, or sold to a third party — the user owns their data unconditionally and verifiably.</w:t>
            </w:r>
          </w:p>
        </w:tc>
      </w:tr>
      <w:tr>
        <w:trPr>
          <w:tblHeader w:val="false"/>
        </w:trPr>
        <w:tc>
          <w:tcPr>
            <w:tcW w:type="dxa" w:w="2200"/>
            <w:tcBorders>
              <w:top w:val="single" w:color="C0D0E0" w:sz="1"/>
              <w:left w:val="single" w:color="C0D0E0" w:sz="1"/>
              <w:bottom w:val="single" w:color="C0D0E0" w:sz="1"/>
              <w:right w:val="single" w:color="C0D0E0" w:sz="1"/>
            </w:tcBorders>
            <w:shd w:fill="F2F7FB" w:val="clear"/>
            <w:tcMar>
              <w:top w:type="dxa" w:w="100"/>
              <w:left w:type="dxa" w:w="120"/>
              <w:bottom w:type="dxa" w:w="100"/>
              <w:right w:type="dxa" w:w="120"/>
            </w:tcMar>
          </w:tcPr>
          <w:p>
            <w:r>
              <w:rPr>
                <w:rFonts w:ascii="Calibri" w:cs="Calibri" w:eastAsia="Calibri" w:hAnsi="Calibri"/>
                <w:b w:val="false"/>
                <w:bCs w:val="false"/>
                <w:color w:val="2E75B6"/>
                <w:sz w:val="20"/>
                <w:szCs w:val="20"/>
              </w:rPr>
              <w:t xml:space="preserve">Transparency</w:t>
            </w:r>
          </w:p>
        </w:tc>
        <w:tc>
          <w:tcPr>
            <w:tcW w:type="dxa" w:w="7160"/>
            <w:tcBorders>
              <w:top w:val="single" w:color="C0D0E0" w:sz="1"/>
              <w:left w:val="single" w:color="C0D0E0" w:sz="1"/>
              <w:bottom w:val="single" w:color="C0D0E0" w:sz="1"/>
              <w:right w:val="single" w:color="C0D0E0" w:sz="1"/>
            </w:tcBorders>
            <w:shd w:fill="FFFFFF" w:val="clear"/>
            <w:tcMar>
              <w:top w:type="dxa" w:w="100"/>
              <w:left w:type="dxa" w:w="120"/>
              <w:bottom w:type="dxa" w:w="100"/>
              <w:right w:type="dxa" w:w="120"/>
            </w:tcMar>
          </w:tcPr>
          <w:p>
            <w:r>
              <w:rPr>
                <w:rFonts w:ascii="Calibri" w:cs="Calibri" w:eastAsia="Calibri" w:hAnsi="Calibri"/>
                <w:b w:val="false"/>
                <w:bCs w:val="false"/>
                <w:color w:val="333333"/>
                <w:sz w:val="20"/>
                <w:szCs w:val="20"/>
              </w:rPr>
              <w:t xml:space="preserve">The contract bytecode and all historical transactions are publicly visible on Sepolia Etherscan. Anyone can independently verify that taskCount increments correctly and that ownership checks are enforced exactly as the source code describes.</w:t>
            </w:r>
          </w:p>
        </w:tc>
      </w:tr>
      <w:tr>
        <w:trPr>
          <w:tblHeader w:val="false"/>
        </w:trPr>
        <w:tc>
          <w:tcPr>
            <w:tcW w:type="dxa" w:w="2200"/>
            <w:tcBorders>
              <w:top w:val="single" w:color="C0D0E0" w:sz="1"/>
              <w:left w:val="single" w:color="C0D0E0" w:sz="1"/>
              <w:bottom w:val="single" w:color="C0D0E0" w:sz="1"/>
              <w:right w:val="single" w:color="C0D0E0" w:sz="1"/>
            </w:tcBorders>
            <w:shd w:fill="F2F7FB" w:val="clear"/>
            <w:tcMar>
              <w:top w:type="dxa" w:w="100"/>
              <w:left w:type="dxa" w:w="120"/>
              <w:bottom w:type="dxa" w:w="100"/>
              <w:right w:type="dxa" w:w="120"/>
            </w:tcMar>
          </w:tcPr>
          <w:p>
            <w:r>
              <w:rPr>
                <w:rFonts w:ascii="Calibri" w:cs="Calibri" w:eastAsia="Calibri" w:hAnsi="Calibri"/>
                <w:b w:val="false"/>
                <w:bCs w:val="false"/>
                <w:color w:val="2E75B6"/>
                <w:sz w:val="20"/>
                <w:szCs w:val="20"/>
              </w:rPr>
              <w:t xml:space="preserve">Gas Efficiency</w:t>
            </w:r>
          </w:p>
        </w:tc>
        <w:tc>
          <w:tcPr>
            <w:tcW w:type="dxa" w:w="7160"/>
            <w:tcBorders>
              <w:top w:val="single" w:color="C0D0E0" w:sz="1"/>
              <w:left w:val="single" w:color="C0D0E0" w:sz="1"/>
              <w:bottom w:val="single" w:color="C0D0E0" w:sz="1"/>
              <w:right w:val="single" w:color="C0D0E0" w:sz="1"/>
            </w:tcBorders>
            <w:shd w:fill="FFFFFF" w:val="clear"/>
            <w:tcMar>
              <w:top w:type="dxa" w:w="100"/>
              <w:left w:type="dxa" w:w="120"/>
              <w:bottom w:type="dxa" w:w="100"/>
              <w:right w:type="dxa" w:w="120"/>
            </w:tcMar>
          </w:tcPr>
          <w:p>
            <w:r>
              <w:rPr>
                <w:rFonts w:ascii="Calibri" w:cs="Calibri" w:eastAsia="Calibri" w:hAnsi="Calibri"/>
                <w:b w:val="false"/>
                <w:bCs w:val="false"/>
                <w:color w:val="333333"/>
                <w:sz w:val="20"/>
                <w:szCs w:val="20"/>
              </w:rPr>
              <w:t xml:space="preserve">uint256 is the EVM's native word size, costing less gas than smaller types such as uint8. Task content is capped at 280 bytes via a require guard, preventing unexpectedly large storage writes that would spike transaction fees.</w:t>
            </w:r>
          </w:p>
        </w:tc>
      </w:tr>
      <w:tr>
        <w:trPr>
          <w:tblHeader w:val="false"/>
        </w:trPr>
        <w:tc>
          <w:tcPr>
            <w:tcW w:type="dxa" w:w="2200"/>
            <w:tcBorders>
              <w:top w:val="single" w:color="C0D0E0" w:sz="1"/>
              <w:left w:val="single" w:color="C0D0E0" w:sz="1"/>
              <w:bottom w:val="single" w:color="C0D0E0" w:sz="1"/>
              <w:right w:val="single" w:color="C0D0E0" w:sz="1"/>
            </w:tcBorders>
            <w:shd w:fill="F2F7FB" w:val="clear"/>
            <w:tcMar>
              <w:top w:type="dxa" w:w="100"/>
              <w:left w:type="dxa" w:w="120"/>
              <w:bottom w:type="dxa" w:w="100"/>
              <w:right w:type="dxa" w:w="120"/>
            </w:tcMar>
          </w:tcPr>
          <w:p>
            <w:r>
              <w:rPr>
                <w:rFonts w:ascii="Calibri" w:cs="Calibri" w:eastAsia="Calibri" w:hAnsi="Calibri"/>
                <w:b w:val="false"/>
                <w:bCs w:val="false"/>
                <w:color w:val="2E75B6"/>
                <w:sz w:val="20"/>
                <w:szCs w:val="20"/>
              </w:rPr>
              <w:t xml:space="preserve">Access Control</w:t>
            </w:r>
          </w:p>
        </w:tc>
        <w:tc>
          <w:tcPr>
            <w:tcW w:type="dxa" w:w="7160"/>
            <w:tcBorders>
              <w:top w:val="single" w:color="C0D0E0" w:sz="1"/>
              <w:left w:val="single" w:color="C0D0E0" w:sz="1"/>
              <w:bottom w:val="single" w:color="C0D0E0" w:sz="1"/>
              <w:right w:val="single" w:color="C0D0E0" w:sz="1"/>
            </w:tcBorders>
            <w:shd w:fill="FFFFFF" w:val="clear"/>
            <w:tcMar>
              <w:top w:type="dxa" w:w="100"/>
              <w:left w:type="dxa" w:w="120"/>
              <w:bottom w:type="dxa" w:w="100"/>
              <w:right w:type="dxa" w:w="120"/>
            </w:tcMar>
          </w:tcPr>
          <w:p>
            <w:r>
              <w:rPr>
                <w:rFonts w:ascii="Calibri" w:cs="Calibri" w:eastAsia="Calibri" w:hAnsi="Calibri"/>
                <w:b w:val="false"/>
                <w:bCs w:val="false"/>
                <w:color w:val="333333"/>
                <w:sz w:val="20"/>
                <w:szCs w:val="20"/>
              </w:rPr>
              <w:t xml:space="preserve">Every state-changing function that targets an existing task contains require(tasks[_id].owner == msg.sender) via the onlyOwner modifier, ensuring one user can never complete, edit, or delete another user's tasks without any off-chain authentication layer.</w:t>
            </w:r>
          </w:p>
        </w:tc>
      </w:tr>
    </w:tbl>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5. Deployment</w:t>
      </w:r>
    </w:p>
    <w:p>
      <w:pPr>
        <w:pStyle w:val="Heading2"/>
        <w:spacing w:after="120" w:before="280" w:line="276"/>
      </w:pPr>
      <w:r>
        <w:rPr>
          <w:rFonts w:ascii="Calibri" w:cs="Calibri" w:eastAsia="Calibri" w:hAnsi="Calibri"/>
          <w:b/>
          <w:bCs/>
          <w:color w:val="2E75B6"/>
          <w:sz w:val="28"/>
          <w:szCs w:val="28"/>
        </w:rPr>
        <w:t xml:space="preserve">5.1 Tools and Network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0D0E0" w:sz="1"/>
              <w:left w:val="single" w:color="C0D0E0" w:sz="1"/>
              <w:bottom w:val="single" w:color="C0D0E0" w:sz="1"/>
              <w:right w:val="single" w:color="C0D0E0"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500"/>
            <w:tcBorders>
              <w:top w:val="single" w:color="C0D0E0" w:sz="1"/>
              <w:left w:val="single" w:color="C0D0E0" w:sz="1"/>
              <w:bottom w:val="single" w:color="C0D0E0" w:sz="1"/>
              <w:right w:val="single" w:color="C0D0E0"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4860"/>
            <w:tcBorders>
              <w:top w:val="single" w:color="C0D0E0" w:sz="1"/>
              <w:left w:val="single" w:color="C0D0E0" w:sz="1"/>
              <w:bottom w:val="single" w:color="C0D0E0" w:sz="1"/>
              <w:right w:val="single" w:color="C0D0E0"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Role in Deployment</w:t>
            </w:r>
          </w:p>
        </w:tc>
      </w:tr>
      <w:tr>
        <w:trPr>
          <w:tblHeader w:val="false"/>
        </w:trPr>
        <w:tc>
          <w:tcPr>
            <w:tcW w:type="dxa" w:w="20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IDE</w:t>
            </w:r>
          </w:p>
        </w:tc>
        <w:tc>
          <w:tcPr>
            <w:tcW w:type="dxa" w:w="2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Remix IDE</w:t>
            </w:r>
          </w:p>
        </w:tc>
        <w:tc>
          <w:tcPr>
            <w:tcW w:type="dxa" w:w="4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Browser-based Solidity editor and compiler. Produces the contract Bytecode and ABI. Zero installation required.</w:t>
            </w:r>
          </w:p>
        </w:tc>
      </w:tr>
      <w:tr>
        <w:trPr>
          <w:tblHeader w:val="false"/>
        </w:trPr>
        <w:tc>
          <w:tcPr>
            <w:tcW w:type="dxa" w:w="20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Wallet</w:t>
            </w:r>
          </w:p>
        </w:tc>
        <w:tc>
          <w:tcPr>
            <w:tcW w:type="dxa" w:w="2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MetaMask</w:t>
            </w:r>
          </w:p>
        </w:tc>
        <w:tc>
          <w:tcPr>
            <w:tcW w:type="dxa" w:w="4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Browser extension that holds the deployer's private key, signs the deployment transaction, and pays the gas fee on testnet.</w:t>
            </w:r>
          </w:p>
        </w:tc>
      </w:tr>
      <w:tr>
        <w:trPr>
          <w:tblHeader w:val="false"/>
        </w:trPr>
        <w:tc>
          <w:tcPr>
            <w:tcW w:type="dxa" w:w="20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Network</w:t>
            </w:r>
          </w:p>
        </w:tc>
        <w:tc>
          <w:tcPr>
            <w:tcW w:type="dxa" w:w="2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Sepolia Testnet</w:t>
            </w:r>
          </w:p>
        </w:tc>
        <w:tc>
          <w:tcPr>
            <w:tcW w:type="dxa" w:w="4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An Ethereum testnet mirroring Mainnet behaviour. Gas fees are paid in free test ETH, so there is zero financial risk during development.</w:t>
            </w:r>
          </w:p>
        </w:tc>
      </w:tr>
      <w:tr>
        <w:trPr>
          <w:tblHeader w:val="false"/>
        </w:trPr>
        <w:tc>
          <w:tcPr>
            <w:tcW w:type="dxa" w:w="20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Test ETH</w:t>
            </w:r>
          </w:p>
        </w:tc>
        <w:tc>
          <w:tcPr>
            <w:tcW w:type="dxa" w:w="2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Google Faucet</w:t>
            </w:r>
          </w:p>
        </w:tc>
        <w:tc>
          <w:tcPr>
            <w:tcW w:type="dxa" w:w="4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cloud.google.com/application/web3/faucet/ethereum/sepolia dispenses free test ETH. No credit card required.</w:t>
            </w:r>
          </w:p>
        </w:tc>
      </w:tr>
      <w:tr>
        <w:trPr>
          <w:tblHeader w:val="false"/>
        </w:trPr>
        <w:tc>
          <w:tcPr>
            <w:tcW w:type="dxa" w:w="20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Verification</w:t>
            </w:r>
          </w:p>
        </w:tc>
        <w:tc>
          <w:tcPr>
            <w:tcW w:type="dxa" w:w="2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Sepolia Etherscan</w:t>
            </w:r>
          </w:p>
        </w:tc>
        <w:tc>
          <w:tcPr>
            <w:tcW w:type="dxa" w:w="4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Contract source submitted for public verification after deployment. Lets anyone read the ABI and call functions directly from the Etherscan UI.</w:t>
            </w:r>
          </w:p>
        </w:tc>
      </w:tr>
      <w:tr>
        <w:trPr>
          <w:tblHeader w:val="false"/>
        </w:trPr>
        <w:tc>
          <w:tcPr>
            <w:tcW w:type="dxa" w:w="20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Frontend</w:t>
            </w:r>
          </w:p>
        </w:tc>
        <w:tc>
          <w:tcPr>
            <w:tcW w:type="dxa" w:w="2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React + ethers.js v6</w:t>
            </w:r>
          </w:p>
        </w:tc>
        <w:tc>
          <w:tcPr>
            <w:tcW w:type="dxa" w:w="4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ethers.js connects the React frontend to the deployed contract using its address and ABI. All data operations happen on-chain.</w:t>
            </w:r>
          </w:p>
        </w:tc>
      </w:tr>
      <w:tr>
        <w:trPr>
          <w:tblHeader w:val="false"/>
        </w:trPr>
        <w:tc>
          <w:tcPr>
            <w:tcW w:type="dxa" w:w="2000"/>
            <w:tcBorders>
              <w:top w:val="single" w:color="C0D0E0" w:sz="1"/>
              <w:left w:val="single" w:color="C0D0E0" w:sz="1"/>
              <w:bottom w:val="single" w:color="C0D0E0" w:sz="1"/>
              <w:right w:val="single" w:color="C0D0E0" w:sz="1"/>
            </w:tcBorders>
            <w:shd w:fill="F2F7FB" w:val="clear"/>
            <w:tcMar>
              <w:top w:type="dxa" w:w="80"/>
              <w:left w:type="dxa" w:w="120"/>
              <w:bottom w:type="dxa" w:w="80"/>
              <w:right w:type="dxa" w:w="120"/>
            </w:tcMar>
          </w:tcPr>
          <w:p>
            <w:r>
              <w:rPr>
                <w:rFonts w:ascii="Calibri" w:cs="Calibri" w:eastAsia="Calibri" w:hAnsi="Calibri"/>
                <w:b w:val="false"/>
                <w:bCs w:val="false"/>
                <w:color w:val="2E75B6"/>
                <w:sz w:val="20"/>
                <w:szCs w:val="20"/>
              </w:rPr>
              <w:t xml:space="preserve">Hosting</w:t>
            </w:r>
          </w:p>
        </w:tc>
        <w:tc>
          <w:tcPr>
            <w:tcW w:type="dxa" w:w="2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Vercel / GitHub Pages</w:t>
            </w:r>
          </w:p>
        </w:tc>
        <w:tc>
          <w:tcPr>
            <w:tcW w:type="dxa" w:w="4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Free static hosting for the compiled React app, making the DApp publicly accessible at no cost.</w:t>
            </w:r>
          </w:p>
        </w:tc>
      </w:tr>
    </w:tbl>
    <w:p>
      <w:pPr>
        <w:spacing w:after="120" w:before="0"/>
      </w:pPr>
      <w:r>
        <w:t xml:space="preserve"/>
      </w:r>
    </w:p>
    <w:p>
      <w:pPr>
        <w:pStyle w:val="Heading2"/>
        <w:spacing w:after="120" w:before="280" w:line="276"/>
      </w:pPr>
      <w:r>
        <w:rPr>
          <w:rFonts w:ascii="Calibri" w:cs="Calibri" w:eastAsia="Calibri" w:hAnsi="Calibri"/>
          <w:b/>
          <w:bCs/>
          <w:color w:val="2E75B6"/>
          <w:sz w:val="28"/>
          <w:szCs w:val="28"/>
        </w:rPr>
        <w:t xml:space="preserve">5.2 Deployment Details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Contract Address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0xdd558475249E4caac26409D6970b9fD09BC9Df21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Deploy Transaction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0x1747645e39f0aa7fa1584554fd94fd1eeb5bee3b81584db4da4b264dc25afcfd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Network</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Ethereum Sepolia Testnet (Chain ID: 11155111)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Block Number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#10873559</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Deployer Wallet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0x32C3f176a295E5975bE6bF29EAdBE66cB0A163f4</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Compiler Version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Solidity 0.8.19</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Etherscan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https://sepolia.etherscan.io/address/0xdd558475249E4caac26409D6970b9fD09BC9Df21</w:t>
            </w:r>
          </w:p>
        </w:tc>
      </w:tr>
    </w:tbl>
    <w:p>
      <w:pPr>
        <w:spacing w:after="120" w:before="0"/>
      </w:pPr>
      <w:r>
        <w:t xml:space="preserve"/>
      </w:r>
    </w:p>
    <w:p>
      <w:pPr>
        <w:pStyle w:val="Heading2"/>
        <w:spacing w:after="120" w:before="280" w:line="276"/>
      </w:pPr>
      <w:r>
        <w:rPr>
          <w:rFonts w:ascii="Calibri" w:cs="Calibri" w:eastAsia="Calibri" w:hAnsi="Calibri"/>
          <w:b/>
          <w:bCs/>
          <w:color w:val="2E75B6"/>
          <w:sz w:val="28"/>
          <w:szCs w:val="28"/>
        </w:rPr>
        <w:t xml:space="preserve">5.3 Deployment Process</w:t>
      </w:r>
    </w:p>
    <w:p>
      <w:pPr>
        <w:pStyle w:val="ListParagraph"/>
        <w:numPr>
          <w:ilvl w:val="0"/>
          <w:numId w:val="3"/>
        </w:numPr>
        <w:spacing w:after="60" w:before="0" w:line="276"/>
      </w:pPr>
      <w:r>
        <w:rPr>
          <w:rFonts w:ascii="Calibri" w:cs="Calibri" w:eastAsia="Calibri" w:hAnsi="Calibri"/>
          <w:color w:val="333333"/>
          <w:sz w:val="22"/>
          <w:szCs w:val="22"/>
        </w:rPr>
        <w:t xml:space="preserve">Draft — TodoContract.sol written in Remix IDE with struct, mappings, CRUD functions, modifiers, and events.</w:t>
      </w:r>
    </w:p>
    <w:p>
      <w:pPr>
        <w:pStyle w:val="ListParagraph"/>
        <w:numPr>
          <w:ilvl w:val="0"/>
          <w:numId w:val="3"/>
        </w:numPr>
        <w:spacing w:after="60" w:before="0" w:line="276"/>
      </w:pPr>
      <w:r>
        <w:rPr>
          <w:rFonts w:ascii="Calibri" w:cs="Calibri" w:eastAsia="Calibri" w:hAnsi="Calibri"/>
          <w:color w:val="333333"/>
          <w:sz w:val="22"/>
          <w:szCs w:val="22"/>
        </w:rPr>
        <w:t xml:space="preserve">Compile — Solidity compiler 0.8.19 selected in Remix. Successful compilation produces the Bytecode and ABI JSON file.</w:t>
      </w:r>
    </w:p>
    <w:p>
      <w:pPr>
        <w:pStyle w:val="ListParagraph"/>
        <w:numPr>
          <w:ilvl w:val="0"/>
          <w:numId w:val="3"/>
        </w:numPr>
        <w:spacing w:after="60" w:before="0" w:line="276"/>
      </w:pPr>
      <w:r>
        <w:rPr>
          <w:rFonts w:ascii="Calibri" w:cs="Calibri" w:eastAsia="Calibri" w:hAnsi="Calibri"/>
          <w:color w:val="333333"/>
          <w:sz w:val="22"/>
          <w:szCs w:val="22"/>
        </w:rPr>
        <w:t xml:space="preserve">Test — Contract tested using Remix's built-in JavaScript VM. Edge cases verified: non-owner toggle reverts, empty string reverts, deleteTask resets struct without throwing.</w:t>
      </w:r>
    </w:p>
    <w:p>
      <w:pPr>
        <w:pStyle w:val="ListParagraph"/>
        <w:numPr>
          <w:ilvl w:val="0"/>
          <w:numId w:val="3"/>
        </w:numPr>
        <w:spacing w:after="60" w:before="0" w:line="276"/>
      </w:pPr>
      <w:r>
        <w:rPr>
          <w:rFonts w:ascii="Calibri" w:cs="Calibri" w:eastAsia="Calibri" w:hAnsi="Calibri"/>
          <w:color w:val="333333"/>
          <w:sz w:val="22"/>
          <w:szCs w:val="22"/>
        </w:rPr>
        <w:t xml:space="preserve">Deploy — Environment switched to Browser Extension (MetaMask) with Sepolia Testnet active and test ETH funded via Google Faucet. Deployment confirmed through MetaMask.</w:t>
      </w:r>
    </w:p>
    <w:p>
      <w:pPr>
        <w:pStyle w:val="ListParagraph"/>
        <w:numPr>
          <w:ilvl w:val="0"/>
          <w:numId w:val="3"/>
        </w:numPr>
        <w:spacing w:after="60" w:before="0" w:line="276"/>
      </w:pPr>
      <w:r>
        <w:rPr>
          <w:rFonts w:ascii="Calibri" w:cs="Calibri" w:eastAsia="Calibri" w:hAnsi="Calibri"/>
          <w:color w:val="333333"/>
          <w:sz w:val="22"/>
          <w:szCs w:val="22"/>
        </w:rPr>
        <w:t xml:space="preserve">Verify — Deployed contract address opened on Sepolia Etherscan and source code submitted for public verification.</w:t>
      </w:r>
    </w:p>
    <w:p>
      <w:pPr>
        <w:pStyle w:val="ListParagraph"/>
        <w:numPr>
          <w:ilvl w:val="0"/>
          <w:numId w:val="3"/>
        </w:numPr>
        <w:spacing w:after="60" w:before="0" w:line="276"/>
      </w:pPr>
      <w:r>
        <w:rPr>
          <w:rFonts w:ascii="Calibri" w:cs="Calibri" w:eastAsia="Calibri" w:hAnsi="Calibri"/>
          <w:color w:val="333333"/>
          <w:sz w:val="22"/>
          <w:szCs w:val="22"/>
        </w:rPr>
        <w:t xml:space="preserve">Integrate — Contract address and ABI added to the HTML/React frontend. ethers.js used to call createTask, getMyTasks, toggleTask, editTask, and deleteTask. Full user flow tested in browser.</w:t>
      </w:r>
    </w:p>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6. Frontend Interface</w:t>
      </w:r>
    </w:p>
    <w:p>
      <w:pPr>
        <w:spacing w:after="120" w:before="0" w:line="300"/>
        <w:jc w:val="both"/>
      </w:pPr>
      <w:r>
        <w:rPr>
          <w:rFonts w:ascii="Calibri" w:cs="Calibri" w:eastAsia="Calibri" w:hAnsi="Calibri"/>
          <w:color w:val="333333"/>
          <w:sz w:val="22"/>
          <w:szCs w:val="22"/>
        </w:rPr>
        <w:t xml:space="preserve">The frontend demo is built as a standalone HTML/CSS/JavaScript file with no external dependencies beyond the Tabler Icons CDN. It simulates the complete on-chain interaction flow, making it suitable for classroom demonstrations without requiring a live MetaMask connection during the presentation.</w:t>
      </w:r>
    </w:p>
    <w:p>
      <w:pPr>
        <w:pStyle w:val="Heading2"/>
        <w:spacing w:after="120" w:before="280" w:line="276"/>
      </w:pPr>
      <w:r>
        <w:rPr>
          <w:rFonts w:ascii="Calibri" w:cs="Calibri" w:eastAsia="Calibri" w:hAnsi="Calibri"/>
          <w:b/>
          <w:bCs/>
          <w:color w:val="2E75B6"/>
          <w:sz w:val="28"/>
          <w:szCs w:val="28"/>
        </w:rPr>
        <w:t xml:space="preserve">6.1 Features</w:t>
      </w:r>
    </w:p>
    <w:p>
      <w:pPr>
        <w:pStyle w:val="ListParagraph"/>
        <w:numPr>
          <w:ilvl w:val="0"/>
          <w:numId w:val="2"/>
        </w:numPr>
        <w:spacing w:after="60" w:before="0" w:line="276"/>
      </w:pPr>
      <w:r>
        <w:rPr>
          <w:rFonts w:ascii="Calibri" w:cs="Calibri" w:eastAsia="Calibri" w:hAnsi="Calibri"/>
          <w:color w:val="333333"/>
          <w:sz w:val="22"/>
          <w:szCs w:val="22"/>
        </w:rPr>
        <w:t xml:space="preserve">Wallet chip displaying the connected address (0x32C3...163f4) and network status (Sepolia)</w:t>
      </w:r>
    </w:p>
    <w:p>
      <w:pPr>
        <w:pStyle w:val="ListParagraph"/>
        <w:numPr>
          <w:ilvl w:val="0"/>
          <w:numId w:val="2"/>
        </w:numPr>
        <w:spacing w:after="60" w:before="0" w:line="276"/>
      </w:pPr>
      <w:r>
        <w:rPr>
          <w:rFonts w:ascii="Calibri" w:cs="Calibri" w:eastAsia="Calibri" w:hAnsi="Calibri"/>
          <w:color w:val="333333"/>
          <w:sz w:val="22"/>
          <w:szCs w:val="22"/>
        </w:rPr>
        <w:t xml:space="preserve">Statistics bar showing total tasks, completed count, pending count, and total transactions</w:t>
      </w:r>
    </w:p>
    <w:p>
      <w:pPr>
        <w:pStyle w:val="ListParagraph"/>
        <w:numPr>
          <w:ilvl w:val="0"/>
          <w:numId w:val="2"/>
        </w:numPr>
        <w:spacing w:after="60" w:before="0" w:line="276"/>
      </w:pPr>
      <w:r>
        <w:rPr>
          <w:rFonts w:ascii="Calibri" w:cs="Calibri" w:eastAsia="Calibri" w:hAnsi="Calibri"/>
          <w:color w:val="333333"/>
          <w:sz w:val="22"/>
          <w:szCs w:val="22"/>
        </w:rPr>
        <w:t xml:space="preserve">Task input with real-time 280-byte character counter matching the contract's content length limit</w:t>
      </w:r>
    </w:p>
    <w:p>
      <w:pPr>
        <w:pStyle w:val="ListParagraph"/>
        <w:numPr>
          <w:ilvl w:val="0"/>
          <w:numId w:val="2"/>
        </w:numPr>
        <w:spacing w:after="60" w:before="0" w:line="276"/>
      </w:pPr>
      <w:r>
        <w:rPr>
          <w:rFonts w:ascii="Calibri" w:cs="Calibri" w:eastAsia="Calibri" w:hAnsi="Calibri"/>
          <w:color w:val="333333"/>
          <w:sz w:val="22"/>
          <w:szCs w:val="22"/>
        </w:rPr>
        <w:t xml:space="preserve">Filter tabs for All, Pending, and Done views</w:t>
      </w:r>
    </w:p>
    <w:p>
      <w:pPr>
        <w:pStyle w:val="ListParagraph"/>
        <w:numPr>
          <w:ilvl w:val="0"/>
          <w:numId w:val="2"/>
        </w:numPr>
        <w:spacing w:after="60" w:before="0" w:line="276"/>
      </w:pPr>
      <w:r>
        <w:rPr>
          <w:rFonts w:ascii="Calibri" w:cs="Calibri" w:eastAsia="Calibri" w:hAnsi="Calibri"/>
          <w:color w:val="333333"/>
          <w:sz w:val="22"/>
          <w:szCs w:val="22"/>
        </w:rPr>
        <w:t xml:space="preserve">Per-task edit and delete actions with inline editing support</w:t>
      </w:r>
    </w:p>
    <w:p>
      <w:pPr>
        <w:pStyle w:val="ListParagraph"/>
        <w:numPr>
          <w:ilvl w:val="0"/>
          <w:numId w:val="2"/>
        </w:numPr>
        <w:spacing w:after="60" w:before="0" w:line="276"/>
      </w:pPr>
      <w:r>
        <w:rPr>
          <w:rFonts w:ascii="Calibri" w:cs="Calibri" w:eastAsia="Calibri" w:hAnsi="Calibri"/>
          <w:color w:val="333333"/>
          <w:sz w:val="22"/>
          <w:szCs w:val="22"/>
        </w:rPr>
        <w:t xml:space="preserve">Toast notifications simulating on-chain events: TaskCreated, TaskToggled, TaskEdited, TaskDeleted — each showing approximate gas cost</w:t>
      </w:r>
    </w:p>
    <w:p>
      <w:pPr>
        <w:pStyle w:val="ListParagraph"/>
        <w:numPr>
          <w:ilvl w:val="0"/>
          <w:numId w:val="2"/>
        </w:numPr>
        <w:spacing w:after="60" w:before="0" w:line="276"/>
      </w:pPr>
      <w:r>
        <w:rPr>
          <w:rFonts w:ascii="Calibri" w:cs="Calibri" w:eastAsia="Calibri" w:hAnsi="Calibri"/>
          <w:color w:val="333333"/>
          <w:sz w:val="22"/>
          <w:szCs w:val="22"/>
        </w:rPr>
        <w:t xml:space="preserve">Direct Etherscan links to the deployed contract and the deployment transaction</w:t>
      </w:r>
    </w:p>
    <w:p>
      <w:pPr>
        <w:pStyle w:val="ListParagraph"/>
        <w:numPr>
          <w:ilvl w:val="0"/>
          <w:numId w:val="2"/>
        </w:numPr>
        <w:spacing w:after="60" w:before="0" w:line="276"/>
      </w:pPr>
      <w:r>
        <w:rPr>
          <w:rFonts w:ascii="Calibri" w:cs="Calibri" w:eastAsia="Calibri" w:hAnsi="Calibri"/>
          <w:color w:val="333333"/>
          <w:sz w:val="22"/>
          <w:szCs w:val="22"/>
        </w:rPr>
        <w:t xml:space="preserve">Network panel showing Chain ID 11155111, real block number, and completion progress</w:t>
      </w:r>
    </w:p>
    <w:p>
      <w:pPr>
        <w:spacing w:after="120" w:before="0"/>
      </w:pPr>
      <w:r>
        <w:t xml:space="preserve"/>
      </w:r>
    </w:p>
    <w:p>
      <w:pPr>
        <w:pStyle w:val="Heading2"/>
        <w:spacing w:after="120" w:before="280" w:line="276"/>
      </w:pPr>
      <w:r>
        <w:rPr>
          <w:rFonts w:ascii="Calibri" w:cs="Calibri" w:eastAsia="Calibri" w:hAnsi="Calibri"/>
          <w:b/>
          <w:bCs/>
          <w:color w:val="2E75B6"/>
          <w:sz w:val="28"/>
          <w:szCs w:val="28"/>
        </w:rPr>
        <w:t xml:space="preserve">6.2 Technology Choices</w:t>
      </w:r>
    </w:p>
    <w:p>
      <w:pPr>
        <w:spacing w:after="120" w:before="0" w:line="300"/>
        <w:jc w:val="both"/>
      </w:pPr>
      <w:r>
        <w:rPr>
          <w:rFonts w:ascii="Calibri" w:cs="Calibri" w:eastAsia="Calibri" w:hAnsi="Calibri"/>
          <w:color w:val="333333"/>
          <w:sz w:val="22"/>
          <w:szCs w:val="22"/>
        </w:rPr>
        <w:t xml:space="preserve">The frontend uses ethers.js v6 for production integration, connecting to the deployed contract via its address and ABI. For the demonstration UI, all interaction is handled in plain JavaScript to maximize compatibility across devices without requiring Node.js or a build step. The React version (App.jsx with useWallet and useContract hooks) provides the production-ready implementation intended for Vercel deployment.</w:t>
      </w:r>
    </w:p>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7. Testing</w:t>
      </w:r>
    </w:p>
    <w:p>
      <w:pPr>
        <w:spacing w:after="120" w:before="0" w:line="300"/>
        <w:jc w:val="both"/>
      </w:pPr>
      <w:r>
        <w:rPr>
          <w:rFonts w:ascii="Calibri" w:cs="Calibri" w:eastAsia="Calibri" w:hAnsi="Calibri"/>
          <w:color w:val="333333"/>
          <w:sz w:val="22"/>
          <w:szCs w:val="22"/>
        </w:rPr>
        <w:t xml:space="preserve">The contract was tested in Remix IDE's JavaScript VM environment before deployment. The following scenarios were verified: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90B0CC" w:sz="1"/>
              <w:left w:val="single" w:color="90B0CC" w:sz="1"/>
              <w:bottom w:val="single" w:color="90B0CC" w:sz="1"/>
              <w:right w:val="single" w:color="90B0CC" w:sz="1"/>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Test Scenario</w:t>
            </w:r>
          </w:p>
        </w:tc>
        <w:tc>
          <w:tcPr>
            <w:tcW w:type="dxa" w:w="2200"/>
            <w:tcBorders>
              <w:top w:val="single" w:color="90B0CC" w:sz="1"/>
              <w:left w:val="single" w:color="90B0CC" w:sz="1"/>
              <w:bottom w:val="single" w:color="90B0CC" w:sz="1"/>
              <w:right w:val="single" w:color="90B0CC" w:sz="1"/>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Expected Result</w:t>
            </w:r>
          </w:p>
        </w:tc>
        <w:tc>
          <w:tcPr>
            <w:tcW w:type="dxa" w:w="3960"/>
            <w:tcBorders>
              <w:top w:val="single" w:color="90B0CC" w:sz="1"/>
              <w:left w:val="single" w:color="90B0CC" w:sz="1"/>
              <w:bottom w:val="single" w:color="90B0CC" w:sz="1"/>
              <w:right w:val="single" w:color="90B0CC" w:sz="1"/>
            </w:tcBorders>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Outcome</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createTask with valid content</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Task stored, event emitted</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createTask with empty string</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 reverts</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createTask exceeding 280 bytes</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 reverts</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toggleTask by task owner</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isCompleted flipped</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toggleTask by non-owner</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 reverts</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editTask with new valid content</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Content updated, event emitted</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deleteTask by owner</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Struct reset to defaults</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deleteTask by non-owner</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Transaction reverts</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getMyTasks after creates</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Returns correct ID array</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r>
        <w:tc>
          <w:tcPr>
            <w:tcW w:type="dxa" w:w="3200"/>
            <w:tcBorders>
              <w:top w:val="single" w:color="B0C8DC" w:sz="1"/>
              <w:left w:val="single" w:color="B0C8DC" w:sz="1"/>
              <w:bottom w:val="single" w:color="B0C8DC" w:sz="1"/>
              <w:right w:val="single" w:color="B0C8DC" w:sz="1"/>
            </w:tcBorders>
            <w:shd w:fill="F2F7FB"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getTask on deleted task</w:t>
            </w:r>
          </w:p>
        </w:tc>
        <w:tc>
          <w:tcPr>
            <w:tcW w:type="dxa" w:w="2200"/>
            <w:tcBorders>
              <w:top w:val="single" w:color="B0C8DC" w:sz="1"/>
              <w:left w:val="single" w:color="B0C8DC" w:sz="1"/>
              <w:bottom w:val="single" w:color="B0C8DC" w:sz="1"/>
              <w:right w:val="single" w:color="B0C8D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Reverts — owner is address(0)</w:t>
            </w:r>
          </w:p>
        </w:tc>
        <w:tc>
          <w:tcPr>
            <w:tcW w:type="dxa" w:w="3960"/>
            <w:tcBorders>
              <w:top w:val="single" w:color="B0C8DC" w:sz="1"/>
              <w:left w:val="single" w:color="B0C8DC" w:sz="1"/>
              <w:bottom w:val="single" w:color="B0C8DC" w:sz="1"/>
              <w:right w:val="single" w:color="B0C8DC" w:sz="1"/>
            </w:tcBorders>
            <w:shd w:fill="E8F5E9" w:val="clear"/>
            <w:tcMar>
              <w:top w:type="dxa" w:w="80"/>
              <w:left w:type="dxa" w:w="120"/>
              <w:bottom w:type="dxa" w:w="80"/>
              <w:right w:type="dxa" w:w="120"/>
            </w:tcMar>
          </w:tcPr>
          <w:p>
            <w:r>
              <w:rPr>
                <w:rFonts w:ascii="Calibri" w:cs="Calibri" w:eastAsia="Calibri" w:hAnsi="Calibri"/>
                <w:b/>
                <w:bCs/>
                <w:color w:val="1B5E20"/>
                <w:sz w:val="20"/>
                <w:szCs w:val="20"/>
              </w:rPr>
              <w:t xml:space="preserve">PASS</w:t>
            </w:r>
          </w:p>
        </w:tc>
      </w:tr>
    </w:tbl>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8. Conclusion</w:t>
      </w:r>
    </w:p>
    <w:p>
      <w:pPr>
        <w:spacing w:after="120" w:before="0" w:line="300"/>
        <w:jc w:val="both"/>
      </w:pPr>
      <w:r>
        <w:rPr>
          <w:rFonts w:ascii="Calibri" w:cs="Calibri" w:eastAsia="Calibri" w:hAnsi="Calibri"/>
          <w:color w:val="333333"/>
          <w:sz w:val="22"/>
          <w:szCs w:val="22"/>
        </w:rPr>
        <w:t xml:space="preserve">The Web3 To-Do Contract demonstrates, in compact and understandable form, how the core concepts of blockchain technology apply to a real-world problem. The four CRUD operations — which in a traditional application would be handled by a REST API and a SQL database — are implemented entirely in Solidity and executed by the Ethereum Virtual Machine.</w:t>
      </w:r>
    </w:p>
    <w:p>
      <w:pPr>
        <w:spacing w:after="120" w:before="0" w:line="300"/>
        <w:jc w:val="both"/>
      </w:pPr>
      <w:r>
        <w:rPr>
          <w:rFonts w:ascii="Calibri" w:cs="Calibri" w:eastAsia="Calibri" w:hAnsi="Calibri"/>
          <w:color w:val="333333"/>
          <w:sz w:val="22"/>
          <w:szCs w:val="22"/>
        </w:rPr>
        <w:t xml:space="preserve">Data ownership, immutability, transparency, and gas efficiency are not abstractions in this project. They are concrete design decisions reflected in every function: the onlyOwner modifier enforcing access control, the 280-byte content cap controlling storage cost, the soft-delete pattern preserving auditability, and the public mapping ensuring any user can verify their own task history without trusting the developers.</w:t>
      </w:r>
    </w:p>
    <w:p>
      <w:pPr>
        <w:spacing w:after="120" w:before="0" w:line="300"/>
        <w:jc w:val="both"/>
      </w:pPr>
      <w:r>
        <w:rPr>
          <w:rFonts w:ascii="Calibri" w:cs="Calibri" w:eastAsia="Calibri" w:hAnsi="Calibri"/>
          <w:color w:val="333333"/>
          <w:sz w:val="22"/>
          <w:szCs w:val="22"/>
        </w:rPr>
        <w:t xml:space="preserve">The entire project was completed using free tools: Remix IDE, MetaMask, Sepolia Testnet faucets, GitHub, and Vercel. No real cryptocurrency or paid subscription was required at any stage. The contract is live, verified, and publicly accessible on Sepolia Etherscan at the address recorded in this report.</w:t>
      </w:r>
    </w:p>
    <w:p>
      <w:pPr>
        <w:spacing w:after="120" w:before="0" w:line="300"/>
        <w:jc w:val="both"/>
      </w:pPr>
      <w:r>
        <w:rPr>
          <w:rFonts w:ascii="Calibri" w:cs="Calibri" w:eastAsia="Calibri" w:hAnsi="Calibri"/>
          <w:color w:val="333333"/>
          <w:sz w:val="22"/>
          <w:szCs w:val="22"/>
        </w:rPr>
        <w:t xml:space="preserve">This project establishes a foundation that can be extended in future work — multi-user collaboration with role-based access, on-chain deadlines using block timestamps, task prioritization, or integration with a decentralized storage solution such as IPFS for longer task descriptions beyond the current 280-byte limit.</w:t>
      </w:r>
    </w:p>
    <w:p>
      <w:pPr>
        <w:spacing w:after="120" w:before="0"/>
      </w:pPr>
      <w:r>
        <w:t xml:space="preserve"/>
      </w:r>
    </w:p>
    <w:p>
      <w:pPr>
        <w:pStyle w:val="Heading1"/>
        <w:pBdr>
          <w:bottom w:val="single" w:color="2E75B6" w:sz="6" w:space="1"/>
        </w:pBdr>
        <w:spacing w:after="160" w:before="400" w:line="276"/>
      </w:pPr>
      <w:r>
        <w:rPr>
          <w:rFonts w:ascii="Calibri" w:cs="Calibri" w:eastAsia="Calibri" w:hAnsi="Calibri"/>
          <w:b/>
          <w:bCs/>
          <w:color w:val="1F3864"/>
          <w:sz w:val="36"/>
          <w:szCs w:val="36"/>
        </w:rPr>
        <w:t xml:space="preserve">References</w:t>
      </w:r>
    </w:p>
    <w:p>
      <w:pPr>
        <w:pStyle w:val="ListParagraph"/>
        <w:numPr>
          <w:ilvl w:val="0"/>
          <w:numId w:val="2"/>
        </w:numPr>
        <w:spacing w:after="60" w:before="0" w:line="276"/>
      </w:pPr>
      <w:r>
        <w:rPr>
          <w:rFonts w:ascii="Calibri" w:cs="Calibri" w:eastAsia="Calibri" w:hAnsi="Calibri"/>
          <w:color w:val="333333"/>
          <w:sz w:val="22"/>
          <w:szCs w:val="22"/>
        </w:rPr>
        <w:t xml:space="preserve">Ethereum Foundation. Solidity Documentation v0.8.19. https://docs.soliditylang.org</w:t>
      </w:r>
    </w:p>
    <w:p>
      <w:pPr>
        <w:pStyle w:val="ListParagraph"/>
        <w:numPr>
          <w:ilvl w:val="0"/>
          <w:numId w:val="2"/>
        </w:numPr>
        <w:spacing w:after="60" w:before="0" w:line="276"/>
      </w:pPr>
      <w:r>
        <w:rPr>
          <w:rFonts w:ascii="Calibri" w:cs="Calibri" w:eastAsia="Calibri" w:hAnsi="Calibri"/>
          <w:color w:val="333333"/>
          <w:sz w:val="22"/>
          <w:szCs w:val="22"/>
        </w:rPr>
        <w:t xml:space="preserve">Ethereum Foundation. Ethereum Yellow Paper — Formal Specification. https://ethereum.github.io/yellowpaper</w:t>
      </w:r>
    </w:p>
    <w:p>
      <w:pPr>
        <w:pStyle w:val="ListParagraph"/>
        <w:numPr>
          <w:ilvl w:val="0"/>
          <w:numId w:val="2"/>
        </w:numPr>
        <w:spacing w:after="60" w:before="0" w:line="276"/>
      </w:pPr>
      <w:r>
        <w:rPr>
          <w:rFonts w:ascii="Calibri" w:cs="Calibri" w:eastAsia="Calibri" w:hAnsi="Calibri"/>
          <w:color w:val="333333"/>
          <w:sz w:val="22"/>
          <w:szCs w:val="22"/>
        </w:rPr>
        <w:t xml:space="preserve">Remix IDE. Remix Documentation. https://remix-ide.readthedocs.io</w:t>
      </w:r>
    </w:p>
    <w:p>
      <w:pPr>
        <w:pStyle w:val="ListParagraph"/>
        <w:numPr>
          <w:ilvl w:val="0"/>
          <w:numId w:val="2"/>
        </w:numPr>
        <w:spacing w:after="60" w:before="0" w:line="276"/>
      </w:pPr>
      <w:r>
        <w:rPr>
          <w:rFonts w:ascii="Calibri" w:cs="Calibri" w:eastAsia="Calibri" w:hAnsi="Calibri"/>
          <w:color w:val="333333"/>
          <w:sz w:val="22"/>
          <w:szCs w:val="22"/>
        </w:rPr>
        <w:t xml:space="preserve">MetaMask. MetaMask Developer Documentation. https://docs.metamask.io</w:t>
      </w:r>
    </w:p>
    <w:p>
      <w:pPr>
        <w:pStyle w:val="ListParagraph"/>
        <w:numPr>
          <w:ilvl w:val="0"/>
          <w:numId w:val="2"/>
        </w:numPr>
        <w:spacing w:after="60" w:before="0" w:line="276"/>
      </w:pPr>
      <w:r>
        <w:rPr>
          <w:rFonts w:ascii="Calibri" w:cs="Calibri" w:eastAsia="Calibri" w:hAnsi="Calibri"/>
          <w:color w:val="333333"/>
          <w:sz w:val="22"/>
          <w:szCs w:val="22"/>
        </w:rPr>
        <w:t xml:space="preserve">ethers.js. ethers.js v6 Documentation. https://docs.ethers.org/v6</w:t>
      </w:r>
    </w:p>
    <w:p>
      <w:pPr>
        <w:pStyle w:val="ListParagraph"/>
        <w:numPr>
          <w:ilvl w:val="0"/>
          <w:numId w:val="2"/>
        </w:numPr>
        <w:spacing w:after="60" w:before="0" w:line="276"/>
      </w:pPr>
      <w:r>
        <w:rPr>
          <w:rFonts w:ascii="Calibri" w:cs="Calibri" w:eastAsia="Calibri" w:hAnsi="Calibri"/>
          <w:color w:val="333333"/>
          <w:sz w:val="22"/>
          <w:szCs w:val="22"/>
        </w:rPr>
        <w:t xml:space="preserve">Sepolia Etherscan. Contract: 0xdd558475249E4caac26409D6970b9fD09BC9Df21. https://sepolia.etherscan.io</w:t>
      </w:r>
    </w:p>
    <w:p>
      <w:pPr>
        <w:pStyle w:val="ListParagraph"/>
        <w:numPr>
          <w:ilvl w:val="0"/>
          <w:numId w:val="2"/>
        </w:numPr>
        <w:spacing w:after="60" w:before="0" w:line="276"/>
      </w:pPr>
      <w:r>
        <w:rPr>
          <w:rFonts w:ascii="Calibri" w:cs="Calibri" w:eastAsia="Calibri" w:hAnsi="Calibri"/>
          <w:color w:val="333333"/>
          <w:sz w:val="22"/>
          <w:szCs w:val="22"/>
        </w:rPr>
        <w:t xml:space="preserve">Buterin, V. (2014). A Next-Generation Smart Contract and Decentralized Application Platform. Ethereum Whitepaper.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Calibri" w:cs="Calibri" w:eastAsia="Calibri" w:hAnsi="Calibri"/>
        <w:color w:val="888888"/>
        <w:sz w:val="18"/>
        <w:szCs w:val="18"/>
      </w:rPr>
      <w:t xml:space="preserve">BNU  |  Beaconhouse National University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Calibri" w:cs="Calibri" w:eastAsia="Calibri" w:hAnsi="Calibri"/>
        <w:i/>
        <w:iCs/>
        <w:color w:val="888888"/>
        <w:sz w:val="18"/>
        <w:szCs w:val="18"/>
      </w:rPr>
      <w:t xml:space="preserve">Web3 To-Do Contract  |  Digital Finance &amp; Blockchain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2026-05-18T11:02:45.980Z</dcterms:created>
  <dcterms:modified xsi:type="dcterms:W3CDTF">2026-05-18T11:02:45.981Z</dcterms:modified>
</cp:coreProperties>
</file>

<file path=docProps/custom.xml><?xml version="1.0" encoding="utf-8"?>
<Properties xmlns="http://schemas.openxmlformats.org/officeDocument/2006/custom-properties" xmlns:vt="http://schemas.openxmlformats.org/officeDocument/2006/docPropsVTypes"/>
</file>