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widowControl/>
      </w:pPr>
      <w:r>
        <w:rPr>
          <w:rFonts w:ascii="Aptos" w:hAnsi="Aptos"/>
          <w:b/>
          <w:color w:val="2F75B5"/>
          <w:sz w:val="22"/>
        </w:rPr>
        <w:t>CS2 DEMO INTELLIGENCE PLATFORM</w:t>
      </w:r>
    </w:p>
    <w:p>
      <w:pPr>
        <w:spacing w:before="160"/>
        <w:jc w:val="center"/>
        <w:widowControl/>
      </w:pPr>
      <w:r>
        <w:rPr>
          <w:rFonts w:ascii="Aptos Display" w:hAnsi="Aptos Display"/>
          <w:b/>
          <w:color w:val="17365D"/>
          <w:sz w:val="60"/>
        </w:rPr>
        <w:t>Evolution Record</w:t>
      </w:r>
    </w:p>
    <w:p>
      <w:pPr>
        <w:jc w:val="center"/>
        <w:widowControl/>
      </w:pPr>
      <w:r>
        <w:rPr>
          <w:rFonts w:ascii="Aptos Display" w:hAnsi="Aptos Display"/>
          <w:b/>
          <w:color w:val="1F4E79"/>
          <w:sz w:val="44"/>
        </w:rPr>
        <w:t>Stage 1 through Stage 4</w:t>
      </w:r>
    </w:p>
    <w:p>
      <w:pPr>
        <w:spacing w:before="120"/>
        <w:jc w:val="center"/>
        <w:widowControl/>
      </w:pPr>
      <w:r>
        <w:rPr>
          <w:rFonts w:ascii="Aptos" w:hAnsi="Aptos"/>
          <w:color w:val="44546A"/>
          <w:sz w:val="24"/>
        </w:rPr>
        <w:t>Product context, experiments, lessons, architecture shifts, unresolved decisions and current V4 direction</w:t>
      </w:r>
    </w:p>
    <w:tbl>
      <w:tblPr>
        <w:tblW w:type="auto" w:w="0"/>
        <w:jc w:val="center"/>
        <w:tblLayout w:type="autofit"/>
        <w:tblLook w:firstColumn="1" w:firstRow="1" w:lastColumn="0" w:lastRow="0" w:noHBand="0" w:noVBand="1" w:val="04A0"/>
      </w:tblPr>
      <w:tblGrid>
        <w:gridCol w:w="10080"/>
      </w:tblGrid>
      <w:tr>
        <w:tc>
          <w:tcPr>
            <w:tcW w:type="dxa" w:w="10080"/>
            <w:shd w:fill="EEF3F8"/>
            <w:tcMar>
              <w:top w:w="110" w:type="dxa"/>
              <w:start w:w="120" w:type="dxa"/>
              <w:bottom w:w="110" w:type="dxa"/>
              <w:end w:w="120" w:type="dxa"/>
            </w:tcMar>
            <w:tcBorders>
              <w:top w:val="nil"/>
              <w:left w:val="single" w:sz="18" w:color="5B9BD5"/>
              <w:bottom w:val="nil"/>
              <w:right w:val="nil"/>
            </w:tcBorders>
          </w:tcPr>
          <w:p>
            <w:r>
              <w:rPr>
                <w:rFonts w:ascii="Aptos" w:hAnsi="Aptos"/>
                <w:b/>
                <w:color w:val="1F4E79"/>
                <w:sz w:val="20"/>
              </w:rPr>
              <w:t>Document posture</w:t>
            </w:r>
          </w:p>
          <w:p>
            <w:pPr>
              <w:spacing w:after="0"/>
            </w:pPr>
            <w:r>
              <w:rPr>
                <w:rFonts w:ascii="Aptos" w:hAnsi="Aptos"/>
                <w:color w:val="263746"/>
                <w:sz w:val="19"/>
              </w:rPr>
              <w:t>This document is intentionally descriptive. It reconstructs how the project evolved from the available project artifacts and milestone handoffs. It does not convert current proposals into requirements, does not treat consultant agreement as proof, and does not attempt to decide unresolved design choices on the reader’s behalf.</w:t>
            </w:r>
          </w:p>
        </w:tc>
      </w:tr>
    </w:tbl>
    <w:p>
      <w:pPr>
        <w:spacing w:after="20"/>
        <w:widowControl/>
      </w:pPr>
    </w:p>
    <w:tbl>
      <w:tblPr>
        <w:tblW w:type="auto" w:w="0"/>
        <w:jc w:val="center"/>
        <w:tblLayout w:type="fixed"/>
        <w:tblLook w:firstColumn="1" w:firstRow="1" w:lastColumn="0" w:lastRow="0" w:noHBand="0" w:noVBand="1" w:val="04A0"/>
      </w:tblPr>
      <w:tblGrid>
        <w:gridCol w:w="5040"/>
        <w:gridCol w:w="5040"/>
      </w:tblGrid>
      <w:tr>
        <w:tc>
          <w:tcPr>
            <w:tcW w:type="dxa" w:w="5040"/>
            <w:shd w:fill="EAF2F8"/>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b/>
                <w:color w:val="17365D"/>
                <w:sz w:val="18"/>
              </w:rPr>
              <w:t>Snapshot date</w:t>
            </w:r>
          </w:p>
        </w:tc>
        <w:tc>
          <w:tcPr>
            <w:tcW w:type="dxa" w:w="5040"/>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color w:val="263746"/>
                <w:sz w:val="18"/>
              </w:rPr>
              <w:t>28 September 2026</w:t>
            </w:r>
          </w:p>
        </w:tc>
      </w:tr>
      <w:tr>
        <w:tc>
          <w:tcPr>
            <w:tcW w:type="dxa" w:w="5040"/>
            <w:shd w:fill="EAF2F8"/>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b/>
                <w:color w:val="17365D"/>
                <w:sz w:val="18"/>
              </w:rPr>
              <w:t>Scope</w:t>
            </w:r>
          </w:p>
        </w:tc>
        <w:tc>
          <w:tcPr>
            <w:tcW w:type="dxa" w:w="5040"/>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color w:val="263746"/>
                <w:sz w:val="18"/>
              </w:rPr>
              <w:t>Project Stage 1 through current Stage 4, with brief pre-stage context</w:t>
            </w:r>
          </w:p>
        </w:tc>
      </w:tr>
      <w:tr>
        <w:tc>
          <w:tcPr>
            <w:tcW w:type="dxa" w:w="5040"/>
            <w:shd w:fill="EAF2F8"/>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b/>
                <w:color w:val="17365D"/>
                <w:sz w:val="18"/>
              </w:rPr>
              <w:t>Current authoritative baseline</w:t>
            </w:r>
          </w:p>
        </w:tc>
        <w:tc>
          <w:tcPr>
            <w:tcW w:type="dxa" w:w="5040"/>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color w:val="263746"/>
                <w:sz w:val="18"/>
              </w:rPr>
              <w:t>v3.1 bias-controlled baseline remains active until a later design is explicitly frozen</w:t>
            </w:r>
          </w:p>
        </w:tc>
      </w:tr>
      <w:tr>
        <w:tc>
          <w:tcPr>
            <w:tcW w:type="dxa" w:w="5040"/>
            <w:shd w:fill="EAF2F8"/>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b/>
                <w:color w:val="17365D"/>
                <w:sz w:val="18"/>
              </w:rPr>
              <w:t>Current forward-looking design</w:t>
            </w:r>
          </w:p>
        </w:tc>
        <w:tc>
          <w:tcPr>
            <w:tcW w:type="dxa" w:w="5040"/>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color w:val="263746"/>
                <w:sz w:val="18"/>
              </w:rPr>
              <w:t>v4.0 Compositional Reports Draft — research-informed, not frozen</w:t>
            </w:r>
          </w:p>
        </w:tc>
      </w:tr>
      <w:tr>
        <w:tc>
          <w:tcPr>
            <w:tcW w:type="dxa" w:w="5040"/>
            <w:shd w:fill="EAF2F8"/>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b/>
                <w:color w:val="17365D"/>
                <w:sz w:val="18"/>
              </w:rPr>
              <w:t>Audience</w:t>
            </w:r>
          </w:p>
        </w:tc>
        <w:tc>
          <w:tcPr>
            <w:tcW w:type="dxa" w:w="5040"/>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color w:val="263746"/>
                <w:sz w:val="18"/>
              </w:rPr>
              <w:t>New reviewer, consultant, engineer, product designer, coach or owner seeking the historical rationale</w:t>
            </w:r>
          </w:p>
        </w:tc>
      </w:tr>
      <w:tr>
        <w:tc>
          <w:tcPr>
            <w:tcW w:type="dxa" w:w="5040"/>
            <w:shd w:fill="EAF2F8"/>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b/>
                <w:color w:val="17365D"/>
                <w:sz w:val="18"/>
              </w:rPr>
              <w:t>Interpretive stance</w:t>
            </w:r>
          </w:p>
        </w:tc>
        <w:tc>
          <w:tcPr>
            <w:tcW w:type="dxa" w:w="5040"/>
            <w:tcMar>
              <w:top w:w="80" w:type="dxa"/>
              <w:start w:w="90" w:type="dxa"/>
              <w:bottom w:w="80" w:type="dxa"/>
              <w:end w:w="90" w:type="dxa"/>
            </w:tcMar>
            <w:tcBorders>
              <w:top w:val="single" w:sz="3" w:color="D7DFE7"/>
              <w:left w:val="single" w:sz="3" w:color="D7DFE7"/>
              <w:bottom w:val="single" w:sz="3" w:color="D7DFE7"/>
              <w:right w:val="single" w:sz="3" w:color="D7DFE7"/>
            </w:tcBorders>
          </w:tcPr>
          <w:p>
            <w:r>
              <w:rPr>
                <w:rFonts w:ascii="Aptos" w:hAnsi="Aptos"/>
                <w:color w:val="263746"/>
                <w:sz w:val="18"/>
              </w:rPr>
              <w:t>Outside-looking-in synthesis of project evidence, policy, experiments and proposals</w:t>
            </w:r>
          </w:p>
        </w:tc>
      </w:tr>
    </w:tbl>
    <w:p>
      <w:pPr>
        <w:spacing w:before="360"/>
        <w:jc w:val="center"/>
        <w:widowControl/>
      </w:pPr>
      <w:r>
        <w:rPr>
          <w:rFonts w:ascii="Aptos" w:hAnsi="Aptos"/>
          <w:i/>
          <w:color w:val="6B7785"/>
          <w:sz w:val="19"/>
        </w:rPr>
        <w:t>Prepared as a historical and architectural record, not as a recommendation memo.</w:t>
      </w:r>
    </w:p>
    <w:p>
      <w:pPr>
        <w:widowControl/>
      </w:pPr>
      <w:r>
        <w:br w:type="page"/>
      </w:r>
    </w:p>
    <w:p>
      <w:pPr>
        <w:pStyle w:val="Heading1"/>
        <w:keepNext/>
        <w:spacing w:before="200" w:after="100"/>
        <w:widowControl/>
      </w:pPr>
      <w:r>
        <w:rPr>
          <w:rFonts w:ascii="Aptos" w:hAnsi="Aptos"/>
          <w:b/>
          <w:color w:val="17365D"/>
          <w:sz w:val="32"/>
        </w:rPr>
        <w:t>Document map</w:t>
      </w:r>
    </w:p>
    <w:p>
      <w:pPr>
        <w:spacing w:after="160" w:line="259" w:lineRule="auto"/>
        <w:widowControl/>
      </w:pPr>
      <w:r>
        <w:rPr>
          <w:rFonts w:ascii="Aptos" w:hAnsi="Aptos"/>
          <w:i w:val="0"/>
          <w:sz w:val="21"/>
        </w:rPr>
        <w:t>The record is organized to separate chronology from cross-cutting lessons and from present-day design status. This avoids reading current V4 concepts backward into earlier stages.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8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Part</w:t>
            </w:r>
          </w:p>
        </w:tc>
        <w:tc>
          <w:tcPr>
            <w:tcW w:type="dxa" w:w="338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Subject</w:t>
            </w:r>
          </w:p>
        </w:tc>
        <w:tc>
          <w:tcPr>
            <w:tcW w:type="dxa" w:w="525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Purpose</w:t>
            </w:r>
          </w:p>
        </w:tc>
      </w:tr>
      <w:tr>
        <w:tc>
          <w:tcPr>
            <w:tcW w:type="dxa" w:w="10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Part I</w:t>
            </w:r>
          </w:p>
        </w:tc>
        <w:tc>
          <w:tcPr>
            <w:tcW w:type="dxa" w:w="33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Method, terminology and product context</w:t>
            </w:r>
          </w:p>
        </w:tc>
        <w:tc>
          <w:tcPr>
            <w:tcW w:type="dxa" w:w="52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How the record was constructed; what the product is trying to become; how evidence, policy and proposals are distinguished.</w:t>
            </w:r>
          </w:p>
        </w:tc>
      </w:tr>
      <w:tr>
        <w:tc>
          <w:tcPr>
            <w:tcW w:type="dxa" w:w="10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Part II</w:t>
            </w:r>
          </w:p>
        </w:tc>
        <w:tc>
          <w:tcPr>
            <w:tcW w:type="dxa" w:w="33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Stage 1 — measurement instrument</w:t>
            </w:r>
          </w:p>
        </w:tc>
        <w:tc>
          <w:tcPr>
            <w:tcW w:type="dxa" w:w="52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All-player extraction, identity/round integrity, source capability differences, corpus scale and longitudinal coaching.</w:t>
            </w:r>
          </w:p>
        </w:tc>
      </w:tr>
      <w:tr>
        <w:tc>
          <w:tcPr>
            <w:tcW w:type="dxa" w:w="10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Part III</w:t>
            </w:r>
          </w:p>
        </w:tc>
        <w:tc>
          <w:tcPr>
            <w:tcW w:type="dxa" w:w="33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Stage 2 — spatial and historical evidence</w:t>
            </w:r>
          </w:p>
        </w:tc>
        <w:tc>
          <w:tcPr>
            <w:tcW w:type="dxa" w:w="52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AWPy, NAV, collision, historical assets, LOS/exposure and provenance boundaries.</w:t>
            </w:r>
          </w:p>
        </w:tc>
      </w:tr>
      <w:tr>
        <w:tc>
          <w:tcPr>
            <w:tcW w:type="dxa" w:w="10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Part IV</w:t>
            </w:r>
          </w:p>
        </w:tc>
        <w:tc>
          <w:tcPr>
            <w:tcW w:type="dxa" w:w="33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Stage 3 — evidence-plane productionization</w:t>
            </w:r>
          </w:p>
        </w:tc>
        <w:tc>
          <w:tcPr>
            <w:tcW w:type="dxa" w:w="52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Independent architecture review, M0–M8 performance/correctness work, evidence planes and the post-M8 coaching-product failure.</w:t>
            </w:r>
          </w:p>
        </w:tc>
      </w:tr>
      <w:tr>
        <w:tc>
          <w:tcPr>
            <w:tcW w:type="dxa" w:w="10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Part V</w:t>
            </w:r>
          </w:p>
        </w:tc>
        <w:tc>
          <w:tcPr>
            <w:tcW w:type="dxa" w:w="33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Stage 4 — statistics, learning and productization</w:t>
            </w:r>
          </w:p>
        </w:tc>
        <w:tc>
          <w:tcPr>
            <w:tcW w:type="dxa" w:w="52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Deterministic tendency work, first bounded coaching loop, replay/viewer work, v3 platformization, Player Study experiments and V4 reframing.</w:t>
            </w:r>
          </w:p>
        </w:tc>
      </w:tr>
      <w:tr>
        <w:tc>
          <w:tcPr>
            <w:tcW w:type="dxa" w:w="10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Part VI</w:t>
            </w:r>
          </w:p>
        </w:tc>
        <w:tc>
          <w:tcPr>
            <w:tcW w:type="dxa" w:w="33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Cross-stage lesson register</w:t>
            </w:r>
          </w:p>
        </w:tc>
        <w:tc>
          <w:tcPr>
            <w:tcW w:type="dxa" w:w="52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Failure-derived rules and how their meaning changed over time.</w:t>
            </w:r>
          </w:p>
        </w:tc>
      </w:tr>
      <w:tr>
        <w:tc>
          <w:tcPr>
            <w:tcW w:type="dxa" w:w="10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Part VII</w:t>
            </w:r>
          </w:p>
        </w:tc>
        <w:tc>
          <w:tcPr>
            <w:tcW w:type="dxa" w:w="33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Current product/architecture snapshot</w:t>
            </w:r>
          </w:p>
        </w:tc>
        <w:tc>
          <w:tcPr>
            <w:tcW w:type="dxa" w:w="52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Current surfaces, data/AI boundaries, V4 composition concepts and longitudinal/report-bundle direction.</w:t>
            </w:r>
          </w:p>
        </w:tc>
      </w:tr>
      <w:tr>
        <w:tc>
          <w:tcPr>
            <w:tcW w:type="dxa" w:w="10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Part VIII</w:t>
            </w:r>
          </w:p>
        </w:tc>
        <w:tc>
          <w:tcPr>
            <w:tcW w:type="dxa" w:w="33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Open and unfrozen design space</w:t>
            </w:r>
          </w:p>
        </w:tc>
        <w:tc>
          <w:tcPr>
            <w:tcW w:type="dxa" w:w="52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Questions, candidates, deferred work and risks that remain explicitly unresolved.</w:t>
            </w:r>
          </w:p>
        </w:tc>
      </w:tr>
      <w:tr>
        <w:tc>
          <w:tcPr>
            <w:tcW w:type="dxa" w:w="10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Appendices</w:t>
            </w:r>
          </w:p>
        </w:tc>
        <w:tc>
          <w:tcPr>
            <w:tcW w:type="dxa" w:w="33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Milestone register, module inventory, source register and glossary</w:t>
            </w:r>
          </w:p>
        </w:tc>
        <w:tc>
          <w:tcPr>
            <w:tcW w:type="dxa" w:w="52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Detailed reference material intended to let a new reviewer reconstruct the lineage without the original chats.</w:t>
            </w:r>
          </w:p>
        </w:tc>
      </w:tr>
    </w:tbl>
    <w:p>
      <w:pPr>
        <w:spacing w:after="20"/>
        <w:widowControl/>
      </w:pPr>
    </w:p>
    <w:p>
      <w:pPr>
        <w:pStyle w:val="Heading2"/>
        <w:keepNext/>
        <w:spacing w:before="140" w:after="100"/>
        <w:widowControl/>
      </w:pPr>
      <w:r>
        <w:rPr>
          <w:rFonts w:ascii="Aptos" w:hAnsi="Aptos"/>
          <w:b/>
          <w:color w:val="1F4E79"/>
          <w:sz w:val="26"/>
        </w:rPr>
        <w:t>Status vocabulary used in this record</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8"/>
              </w:rPr>
              <w:t>Status</w:t>
            </w:r>
          </w:p>
        </w:tc>
        <w:tc>
          <w:tcPr>
            <w:tcW w:type="dxa" w:w="748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8"/>
              </w:rPr>
              <w:t>Meaning</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Demonstrated result</w:t>
            </w:r>
          </w:p>
        </w:tc>
        <w:tc>
          <w:tcPr>
            <w:tcW w:type="dxa" w:w="74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A recorded experiment or handoff passed its own declared gates. This does not automatically imply production readiness.</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Frozen / active contract</w:t>
            </w:r>
          </w:p>
        </w:tc>
        <w:tc>
          <w:tcPr>
            <w:tcW w:type="dxa" w:w="74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A project contract or policy was explicitly frozen/active at the cited point in time.</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Current baseline</w:t>
            </w:r>
          </w:p>
        </w:tc>
        <w:tc>
          <w:tcPr>
            <w:tcW w:type="dxa" w:w="74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The most recent architecture explicitly adopted as the active baseline. As of this snapshot, this is v3.1.</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Candidate / research</w:t>
            </w:r>
          </w:p>
        </w:tc>
        <w:tc>
          <w:tcPr>
            <w:tcW w:type="dxa" w:w="74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A design or method exists, but its implementation or product semantics remain under evaluation.</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Open / deferred</w:t>
            </w:r>
          </w:p>
        </w:tc>
        <w:tc>
          <w:tcPr>
            <w:tcW w:type="dxa" w:w="74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The project explicitly records the question as unresolved or intentionally postponed.</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Historical / superseded</w:t>
            </w:r>
          </w:p>
        </w:tc>
        <w:tc>
          <w:tcPr>
            <w:tcW w:type="dxa" w:w="74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Retained because it explains later constraints, but not authoritative for current implementation.</w:t>
            </w:r>
          </w:p>
        </w:tc>
      </w:tr>
    </w:tbl>
    <w:p>
      <w:pPr>
        <w:spacing w:after="20"/>
        <w:widowControl/>
      </w:pPr>
    </w:p>
    <w:p>
      <w:pPr>
        <w:pStyle w:val="Heading2"/>
        <w:keepNext/>
        <w:spacing w:before="140" w:after="100"/>
        <w:widowControl/>
      </w:pPr>
      <w:r>
        <w:rPr>
          <w:rFonts w:ascii="Aptos" w:hAnsi="Aptos"/>
          <w:b/>
          <w:color w:val="1F4E79"/>
          <w:sz w:val="26"/>
        </w:rPr>
        <w:t>Terminology warning: “Stage” and “M#” are different namespaces</w:t>
      </w:r>
    </w:p>
    <w:p>
      <w:pPr>
        <w:spacing w:after="100" w:line="259" w:lineRule="auto"/>
        <w:widowControl/>
      </w:pPr>
      <w:r>
        <w:rPr>
          <w:rFonts w:ascii="Aptos" w:hAnsi="Aptos"/>
          <w:i w:val="0"/>
          <w:sz w:val="21"/>
        </w:rPr>
        <w:t>Design v2.1 explicitly distinguishes Project Stage 1/2/3 from the later internal Stage 3 milestone numbering (M0, M1, …). This record extends that project-stage chronology with Stage 4 to describe the post-M8 learning/productization period represented by the Stage4_M11x/M12x/M13x artifacts and the subsequent v3/v4 product experiments. Version numbers such as v2.1, v3.1 and v4.0 are architecture-document versions, not project-stage numbers.</w:t>
      </w:r>
    </w:p>
    <w:p>
      <w:pPr>
        <w:widowControl/>
      </w:pPr>
      <w:r>
        <w:br w:type="page"/>
      </w:r>
    </w:p>
    <w:p>
      <w:pPr>
        <w:pStyle w:val="Heading1"/>
        <w:keepNext/>
        <w:spacing w:before="200" w:after="100"/>
        <w:widowControl/>
      </w:pPr>
      <w:r>
        <w:rPr>
          <w:rFonts w:ascii="Aptos" w:hAnsi="Aptos"/>
          <w:b/>
          <w:color w:val="17365D"/>
          <w:sz w:val="32"/>
        </w:rPr>
        <w:t>Part I — Method, product context and the problem being attempted</w:t>
      </w:r>
    </w:p>
    <w:p>
      <w:pPr>
        <w:pStyle w:val="Heading2"/>
        <w:keepNext/>
        <w:spacing w:before="140" w:after="100"/>
        <w:widowControl/>
      </w:pPr>
      <w:r>
        <w:rPr>
          <w:rFonts w:ascii="Aptos" w:hAnsi="Aptos"/>
          <w:b/>
          <w:color w:val="1F4E79"/>
          <w:sz w:val="26"/>
        </w:rPr>
        <w:t>1. Method and source posture</w:t>
      </w:r>
    </w:p>
    <w:p>
      <w:pPr>
        <w:spacing w:after="100" w:line="259" w:lineRule="auto"/>
        <w:widowControl/>
      </w:pPr>
      <w:r>
        <w:rPr>
          <w:rFonts w:ascii="Aptos" w:hAnsi="Aptos"/>
          <w:i w:val="0"/>
          <w:sz w:val="21"/>
        </w:rPr>
        <w:t>This document was constructed from the project’s master designs, machine-readable milestone handoffs, vertical-slice reports, current V4 research artifacts and recorded human-product reviews. It does not reparse the underlying demo corpus and is not a fresh statistical replication of prior experiments. Where a source reports PASS, the record describes what that PASS meant under the source’s own gates rather than treating it as a universal correctness claim.</w:t>
      </w:r>
    </w:p>
    <w:p>
      <w:pPr>
        <w:spacing w:after="100" w:line="259" w:lineRule="auto"/>
        <w:widowControl/>
      </w:pPr>
      <w:r>
        <w:rPr>
          <w:rFonts w:ascii="Aptos" w:hAnsi="Aptos"/>
          <w:i w:val="0"/>
          <w:sz w:val="21"/>
        </w:rPr>
        <w:t>The project itself developed an explicit authority hierarchy because historical material often contained useful reasoning alongside obsolete assumptions. That hierarchy is preserved here: raw/source evidence and validated derived evidence sit above implementation contracts; product policy is separated from evidence; coaching curriculum and consultation remain interpretive inputs rather than runtime player evidence.</w:t>
      </w:r>
    </w:p>
    <w:p>
      <w:pPr>
        <w:spacing w:after="100" w:line="259" w:lineRule="auto"/>
        <w:widowControl/>
      </w:pPr>
      <w:r>
        <w:rPr>
          <w:rFonts w:ascii="Aptos" w:hAnsi="Aptos"/>
          <w:i w:val="0"/>
          <w:sz w:val="21"/>
        </w:rPr>
        <w:t>External reviews are treated as advisory. V2.1 records a pre-review self-red-team followed by Grok, Claude, DeepSeek and Gemini reviews. V3.1 later concluded that a subsequent three-consultant cycle was not equivalent to independent replication because all reviewers saw substantially the same architecture and a prompt that named suspected weak points. The current record therefore reports reviewer influence without using reviewer agreement as proof.</w:t>
      </w:r>
    </w:p>
    <w:p>
      <w:pPr>
        <w:spacing w:after="100"/>
        <w:widowControl/>
      </w:pPr>
      <w:r>
        <w:rPr>
          <w:rFonts w:ascii="Aptos" w:hAnsi="Aptos"/>
          <w:i/>
          <w:color w:val="6B7785"/>
          <w:sz w:val="17"/>
        </w:rPr>
        <w:t>Source basis: DesignV2.1_CURRENT.docx A.3, A.14; v3.1 A.2, A.3, A.6; v4.0 Part I.</w:t>
      </w:r>
    </w:p>
    <w:p>
      <w:pPr>
        <w:pStyle w:val="Heading2"/>
        <w:keepNext/>
        <w:spacing w:before="140" w:after="100"/>
        <w:widowControl/>
      </w:pPr>
      <w:r>
        <w:rPr>
          <w:rFonts w:ascii="Aptos" w:hAnsi="Aptos"/>
          <w:b/>
          <w:color w:val="1F4E79"/>
          <w:sz w:val="26"/>
        </w:rPr>
        <w:t>2. Product origin and current ambition</w:t>
      </w:r>
    </w:p>
    <w:p>
      <w:pPr>
        <w:spacing w:after="100" w:line="259" w:lineRule="auto"/>
        <w:widowControl/>
      </w:pPr>
      <w:r>
        <w:rPr>
          <w:rFonts w:ascii="Aptos" w:hAnsi="Aptos"/>
          <w:i w:val="0"/>
          <w:sz w:val="21"/>
        </w:rPr>
        <w:t>The product began as an attempt to combine Counter-Strike 2 demo parsing with an AI coach for personal improvement. Early experiments asked whether an AI could infer useful coaching from parser-derived match data. Over time, the central problem shifted from “can a model say something useful?” to a sequence of narrower questions: is the measurement trustworthy; does the evidence mean what it appears to mean; does a repeated behavior qualify as a tendency; can a learning intervention be justified; and can the resulting report be understandable and useful to a player?</w:t>
      </w:r>
    </w:p>
    <w:p>
      <w:pPr>
        <w:spacing w:after="100" w:line="259" w:lineRule="auto"/>
        <w:widowControl/>
      </w:pPr>
      <w:r>
        <w:rPr>
          <w:rFonts w:ascii="Aptos" w:hAnsi="Aptos"/>
          <w:i w:val="0"/>
          <w:sz w:val="21"/>
        </w:rPr>
        <w:t>By v3.1 the project had broadened from a coaching engine into a local-first “CS2 Demo Intelligence Platform.” Personal Coaching remained the most mature lineage, but the shared evidence core was intended to support Player Study, Player Comparison, Team Strategy Study, Anti-Strat/Opponent Study, Team Self-Review and Compare Teams as independently validated modes. During the current Stage 4 design work, “Analyst Desk” emerged as a proposed coach/analyst-facing analytical surface upstream of Player Study. A separate “Cope Barn” entertainment concept was also proposed, explicitly quarantined from valid analysis/coaching state.</w:t>
      </w:r>
    </w:p>
    <w:p>
      <w:pPr>
        <w:spacing w:after="100" w:line="259" w:lineRule="auto"/>
        <w:widowControl/>
      </w:pPr>
      <w:r>
        <w:rPr>
          <w:rFonts w:ascii="Aptos" w:hAnsi="Aptos"/>
          <w:i w:val="0"/>
          <w:sz w:val="21"/>
        </w:rPr>
        <w:t>The recurring aspiration is to turn demo collections into durable, evidence-grounded intelligence rather than one-off commentary: raw demos remain recoverable; deterministic systems reconstruct and measure; AI interprets within claim limits; reports connect findings to evidence; and later studies can compare compatible historical state to current state.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Surface</w:t>
            </w:r>
          </w:p>
        </w:tc>
        <w:tc>
          <w:tcPr>
            <w:tcW w:type="dxa" w:w="446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Intended role</w:t>
            </w:r>
          </w:p>
        </w:tc>
        <w:tc>
          <w:tcPr>
            <w:tcW w:type="dxa" w:w="37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Current maturity in available record</w:t>
            </w:r>
          </w:p>
        </w:tc>
      </w:tr>
      <w:tr>
        <w:tc>
          <w:tcPr>
            <w:tcW w:type="dxa" w:w="216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Personal Coaching</w:t>
            </w:r>
          </w:p>
        </w:tc>
        <w:tc>
          <w:tcPr>
            <w:tcW w:type="dxa" w:w="446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Player-facing improvement loop with qualified priorities, cue/drill/transfer logic.</w:t>
            </w:r>
          </w:p>
        </w:tc>
        <w:tc>
          <w:tcPr>
            <w:tcW w:type="dxa" w:w="37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Internal lineage demonstrated; production/generalization not yet established.</w:t>
            </w:r>
          </w:p>
        </w:tc>
      </w:tr>
      <w:tr>
        <w:tc>
          <w:tcPr>
            <w:tcW w:type="dxa" w:w="216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Player Study</w:t>
            </w:r>
          </w:p>
        </w:tc>
        <w:tc>
          <w:tcPr>
            <w:tcW w:type="dxa" w:w="446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Player-facing learning report that can explain selected concepts with evidence modules.</w:t>
            </w:r>
          </w:p>
        </w:tc>
        <w:tc>
          <w:tcPr>
            <w:tcW w:type="dxa" w:w="37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Deterministic pack and bounded-AI/report experiments exist; presentation contract still evolving.</w:t>
            </w:r>
          </w:p>
        </w:tc>
      </w:tr>
      <w:tr>
        <w:tc>
          <w:tcPr>
            <w:tcW w:type="dxa" w:w="216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Analyst Desk (working name)</w:t>
            </w:r>
          </w:p>
        </w:tc>
        <w:tc>
          <w:tcPr>
            <w:tcW w:type="dxa" w:w="446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Coach/analyst-facing analytical product exposing math, uncertainty, alternatives, counterexamples and evidence.</w:t>
            </w:r>
          </w:p>
        </w:tc>
        <w:tc>
          <w:tcPr>
            <w:tcW w:type="dxa" w:w="37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 design concept; not yet implemented as a mature product.</w:t>
            </w:r>
          </w:p>
        </w:tc>
      </w:tr>
      <w:tr>
        <w:tc>
          <w:tcPr>
            <w:tcW w:type="dxa" w:w="216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Player Comparison</w:t>
            </w:r>
          </w:p>
        </w:tc>
        <w:tc>
          <w:tcPr>
            <w:tcW w:type="dxa" w:w="446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Metric-specific comparison under overlap/support constraints.</w:t>
            </w:r>
          </w:p>
        </w:tc>
        <w:tc>
          <w:tcPr>
            <w:tcW w:type="dxa" w:w="37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Architecture supports research; matcher/estimands remain unfrozen.</w:t>
            </w:r>
          </w:p>
        </w:tc>
      </w:tr>
      <w:tr>
        <w:tc>
          <w:tcPr>
            <w:tcW w:type="dxa" w:w="216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Team Strategy / Opponent / Anti-Strat</w:t>
            </w:r>
          </w:p>
        </w:tc>
        <w:tc>
          <w:tcPr>
            <w:tcW w:type="dxa" w:w="446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Reconstruct repeated structures, modules, branches and responsibilities with inference labels.</w:t>
            </w:r>
          </w:p>
        </w:tc>
        <w:tc>
          <w:tcPr>
            <w:tcW w:type="dxa" w:w="37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Representation research exists; automated discovery remains Research/Beta.</w:t>
            </w:r>
          </w:p>
        </w:tc>
      </w:tr>
      <w:tr>
        <w:tc>
          <w:tcPr>
            <w:tcW w:type="dxa" w:w="216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Team Self-Review / Compare Teams</w:t>
            </w:r>
          </w:p>
        </w:tc>
        <w:tc>
          <w:tcPr>
            <w:tcW w:type="dxa" w:w="446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Reuse qualified team evidence under context matching.</w:t>
            </w:r>
          </w:p>
        </w:tc>
        <w:tc>
          <w:tcPr>
            <w:tcW w:type="dxa" w:w="37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Architectural mode; not a mature shipping surface.</w:t>
            </w:r>
          </w:p>
        </w:tc>
      </w:tr>
      <w:tr>
        <w:tc>
          <w:tcPr>
            <w:tcW w:type="dxa" w:w="216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Cope Barn</w:t>
            </w:r>
          </w:p>
        </w:tc>
        <w:tc>
          <w:tcPr>
            <w:tcW w:type="dxa" w:w="446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Humorous morale/entertainment branch, intentionally separated from serious evidence state.</w:t>
            </w:r>
          </w:p>
        </w:tc>
        <w:tc>
          <w:tcPr>
            <w:tcW w:type="dxa" w:w="37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Concept only; proposed evidentiary quarantine.</w:t>
            </w:r>
          </w:p>
        </w:tc>
      </w:tr>
    </w:tbl>
    <w:p>
      <w:pPr>
        <w:spacing w:after="20"/>
        <w:widowControl/>
      </w:pPr>
    </w:p>
    <w:p>
      <w:pPr>
        <w:pStyle w:val="Heading2"/>
        <w:keepNext/>
        <w:spacing w:before="140" w:after="100"/>
        <w:widowControl/>
      </w:pPr>
      <w:r>
        <w:rPr>
          <w:rFonts w:ascii="Aptos" w:hAnsi="Aptos"/>
          <w:b/>
          <w:color w:val="1F4E79"/>
          <w:sz w:val="26"/>
        </w:rPr>
        <w:t>3. The product problem became a chain of boundaries</w:t>
      </w:r>
    </w:p>
    <w:p>
      <w:pPr>
        <w:spacing w:after="100" w:line="259" w:lineRule="auto"/>
        <w:widowControl/>
      </w:pPr>
      <w:r>
        <w:rPr>
          <w:rFonts w:ascii="Aptos" w:hAnsi="Aptos"/>
          <w:i w:val="0"/>
          <w:sz w:val="21"/>
        </w:rPr>
        <w:t>The historical record suggests that most major changes were boundary corrections rather than feature additions. The project repeatedly found that a plausible downstream interpretation was only as reliable as the boundary immediately below it. Identity errors invalidated joins; round errors invalidated rates; source-capability assumptions invalidated absences; current map assets invalidated historical spatial claims; detector-defined denominators invalidated recurrence; and technically correct statistics could still be poor player-facing teaching.</w:t>
      </w:r>
    </w:p>
    <w:tbl>
      <w:tblPr>
        <w:tblW w:type="auto" w:w="0"/>
        <w:jc w:val="center"/>
        <w:tblLayout w:type="autofit"/>
        <w:tblLook w:firstColumn="1" w:firstRow="1" w:lastColumn="0" w:lastRow="0" w:noHBand="0" w:noVBand="1" w:val="04A0"/>
      </w:tblPr>
      <w:tblGrid>
        <w:gridCol w:w="10080"/>
      </w:tblGrid>
      <w:tr>
        <w:tc>
          <w:tcPr>
            <w:tcW w:type="dxa" w:w="10080"/>
            <w:shd w:fill="F2F2F2"/>
            <w:tcMar>
              <w:top w:w="110" w:type="dxa"/>
              <w:start w:w="120" w:type="dxa"/>
              <w:bottom w:w="110" w:type="dxa"/>
              <w:end w:w="120" w:type="dxa"/>
            </w:tcMar>
            <w:tcBorders>
              <w:top w:val="nil"/>
              <w:left w:val="single" w:sz="18" w:color="A6A6A6"/>
              <w:bottom w:val="nil"/>
              <w:right w:val="nil"/>
            </w:tcBorders>
          </w:tcPr>
          <w:p>
            <w:r>
              <w:rPr>
                <w:rFonts w:ascii="Aptos" w:hAnsi="Aptos"/>
                <w:b/>
                <w:color w:val="1F4E79"/>
                <w:sz w:val="20"/>
              </w:rPr>
              <w:t>Observed evolution pattern</w:t>
            </w:r>
          </w:p>
          <w:p>
            <w:pPr>
              <w:spacing w:after="0"/>
            </w:pPr>
            <w:r>
              <w:rPr>
                <w:rFonts w:ascii="Aptos" w:hAnsi="Aptos"/>
                <w:color w:val="263746"/>
                <w:sz w:val="19"/>
              </w:rPr>
              <w:t>The project’s architecture increasingly separates source truth, deterministic reconstruction, deterministic relationships/statistics, bounded analytical interpretation, learning/teaching decisions and presentation. V4 adds a dedicated product-semantics/composition layer rather than assuming that analytical truth can be displayed directly to a player.</w:t>
            </w:r>
          </w:p>
        </w:tc>
      </w:tr>
    </w:tbl>
    <w:p>
      <w:pPr>
        <w:spacing w:after="20"/>
        <w:widowControl/>
      </w:pPr>
    </w:p>
    <w:p>
      <w:pPr>
        <w:pStyle w:val="Heading2"/>
        <w:keepNext/>
        <w:spacing w:before="140" w:after="100"/>
        <w:widowControl/>
      </w:pPr>
      <w:r>
        <w:rPr>
          <w:rFonts w:ascii="Aptos" w:hAnsi="Aptos"/>
          <w:b/>
          <w:color w:val="1F4E79"/>
          <w:sz w:val="26"/>
        </w:rPr>
        <w:t>4. Pre-Stage context: early coaching and curriculum experiments</w:t>
      </w:r>
    </w:p>
    <w:p>
      <w:pPr>
        <w:spacing w:after="100" w:line="259" w:lineRule="auto"/>
        <w:widowControl/>
      </w:pPr>
      <w:r>
        <w:rPr>
          <w:rFonts w:ascii="Aptos" w:hAnsi="Aptos"/>
          <w:i w:val="0"/>
          <w:sz w:val="21"/>
        </w:rPr>
        <w:t>Before the formal project stages, multiple model/coaching experiments and creator-reference materials served as an informal stress test. The creator corpus included material from austincs, Grashog and HOLMESO [ENG]. The project extracted qualitative ideas such as decision-space management, role/context responsibility, pathing, pre-aim/peek mechanics and preserving advantage. Later architecture explicitly treated this material as curriculum or reasoning guidance rather than evidence about a particular player.</w:t>
      </w:r>
    </w:p>
    <w:p>
      <w:pPr>
        <w:spacing w:after="100" w:line="259" w:lineRule="auto"/>
        <w:widowControl/>
      </w:pPr>
      <w:r>
        <w:rPr>
          <w:rFonts w:ascii="Aptos" w:hAnsi="Aptos"/>
          <w:i w:val="0"/>
          <w:sz w:val="21"/>
        </w:rPr>
        <w:t>Early coaching phrases such as “Arrive ready, not merely arrive,” “Connected aggression,” and “If I take this duel, what does the round look like immediately afterward?” remained influential because they compressed multiple observations into a usable decision cue. The project also learned that early apparently useful conclusions did not necessarily survive larger samples or later epochs, which contributed to the later emphasis on recurrence, lifecycle and longitudinal re-testing.</w:t>
      </w:r>
    </w:p>
    <w:p>
      <w:pPr>
        <w:spacing w:after="100"/>
        <w:widowControl/>
      </w:pPr>
      <w:r>
        <w:rPr>
          <w:rFonts w:ascii="Aptos" w:hAnsi="Aptos"/>
          <w:i/>
          <w:color w:val="6B7785"/>
          <w:sz w:val="17"/>
        </w:rPr>
        <w:t>Source basis: Design v2.1 A.5–A.7 and A.9.</w:t>
      </w:r>
    </w:p>
    <w:p>
      <w:pPr>
        <w:widowControl/>
      </w:pPr>
      <w:r>
        <w:br w:type="page"/>
      </w:r>
    </w:p>
    <w:p>
      <w:pPr>
        <w:pStyle w:val="Heading1"/>
        <w:keepNext/>
        <w:spacing w:before="200" w:after="100"/>
        <w:widowControl/>
      </w:pPr>
      <w:r>
        <w:rPr>
          <w:rFonts w:ascii="Aptos" w:hAnsi="Aptos"/>
          <w:b/>
          <w:color w:val="17365D"/>
          <w:sz w:val="32"/>
        </w:rPr>
        <w:t>Part II — Project Stage 1: from parser experiment to measurement instrument</w:t>
      </w:r>
    </w:p>
    <w:p>
      <w:pPr>
        <w:pStyle w:val="Heading2"/>
        <w:keepNext/>
        <w:spacing w:before="140" w:after="100"/>
        <w:widowControl/>
      </w:pPr>
      <w:r>
        <w:rPr>
          <w:rFonts w:ascii="Aptos" w:hAnsi="Aptos"/>
          <w:b/>
          <w:color w:val="1F4E79"/>
          <w:sz w:val="26"/>
        </w:rPr>
        <w:t>5. Stage 1 entry question</w:t>
      </w:r>
    </w:p>
    <w:p>
      <w:pPr>
        <w:spacing w:after="100" w:line="259" w:lineRule="auto"/>
        <w:widowControl/>
      </w:pPr>
      <w:r>
        <w:rPr>
          <w:rFonts w:ascii="Aptos" w:hAnsi="Aptos"/>
          <w:i w:val="0"/>
          <w:sz w:val="21"/>
        </w:rPr>
        <w:t>Design v2.1 characterizes Stage 1 as the point where the project stopped asking only whether AI could coach from parser output and began asking whether the measurement instrument was trustworthy enough for longitudinal coaching. The stage therefore focused on identity, round structure, all-player context, capability-aware source handling and corpus behavior.</w:t>
      </w:r>
    </w:p>
    <w:p>
      <w:pPr>
        <w:spacing w:after="100"/>
        <w:widowControl/>
      </w:pPr>
      <w:r>
        <w:rPr>
          <w:rFonts w:ascii="Aptos" w:hAnsi="Aptos"/>
          <w:i/>
          <w:color w:val="6B7785"/>
          <w:sz w:val="17"/>
        </w:rPr>
        <w:t>Source basis: Design v2.1 A.8.</w:t>
      </w:r>
    </w:p>
    <w:p>
      <w:pPr>
        <w:pStyle w:val="Heading2"/>
        <w:keepNext/>
        <w:spacing w:before="140" w:after="100"/>
        <w:widowControl/>
      </w:pPr>
      <w:r>
        <w:rPr>
          <w:rFonts w:ascii="Aptos" w:hAnsi="Aptos"/>
          <w:b/>
          <w:color w:val="1F4E79"/>
          <w:sz w:val="26"/>
        </w:rPr>
        <w:t>6. From target-centric extraction to all-player evidence</w:t>
      </w:r>
    </w:p>
    <w:p>
      <w:pPr>
        <w:spacing w:after="100" w:line="259" w:lineRule="auto"/>
        <w:widowControl/>
      </w:pPr>
      <w:r>
        <w:rPr>
          <w:rFonts w:ascii="Aptos" w:hAnsi="Aptos"/>
          <w:i w:val="0"/>
          <w:sz w:val="21"/>
        </w:rPr>
        <w:t>Earlier extraction was target-centric. Stage 1 replaced that approach with match-centric round records and explicit player×round rows for the entire roster. SteamID became the canonical identity, and all players were retained so that future questions could compare the focal player with teammates, opponents and reference players without reparsing the original demo.</w:t>
      </w:r>
    </w:p>
    <w:p>
      <w:pPr>
        <w:spacing w:after="100" w:line="259" w:lineRule="auto"/>
        <w:widowControl/>
      </w:pPr>
      <w:r>
        <w:rPr>
          <w:rFonts w:ascii="Aptos" w:hAnsi="Aptos"/>
          <w:i w:val="0"/>
          <w:sz w:val="21"/>
        </w:rPr>
        <w:t>This design change later became a formal all-player policy. Its value was broader than convenience: target-only extraction had removed context needed to decide whether a focal player’s behavior was isolated, supported, mirrored by teammates, or comparable across different player/source contexts.</w:t>
      </w:r>
    </w:p>
    <w:p>
      <w:pPr>
        <w:pStyle w:val="Heading2"/>
        <w:keepNext/>
        <w:spacing w:before="140" w:after="100"/>
        <w:widowControl/>
      </w:pPr>
      <w:r>
        <w:rPr>
          <w:rFonts w:ascii="Aptos" w:hAnsi="Aptos"/>
          <w:b/>
          <w:color w:val="1F4E79"/>
          <w:sz w:val="26"/>
        </w:rPr>
        <w:t>7. Identity, round structure and missingness became first-class data problems</w:t>
      </w:r>
    </w:p>
    <w:p>
      <w:pPr>
        <w:spacing w:after="100" w:line="259" w:lineRule="auto"/>
        <w:widowControl/>
      </w:pPr>
      <w:r>
        <w:rPr>
          <w:rFonts w:ascii="Aptos" w:hAnsi="Aptos"/>
          <w:i w:val="0"/>
          <w:sz w:val="21"/>
        </w:rPr>
        <w:t>Several Stage 1 failures became long-lived guardrails. FACEIT warmup/knife behavior collided with simplistic “round 1” assumptions. Missing result state was at one point effectively converted into losses. SteamID serialization exposed that a nominally numeric identifier could be silently corrupted if routed through floating-point representations. These were not merely parser bugs; they demonstrated that later tactical or coaching conclusions could be wrong while the output still looked plausible.</w:t>
      </w:r>
    </w:p>
    <w:p>
      <w:pPr>
        <w:pStyle w:val="ListBullet"/>
        <w:spacing w:after="50" w:line="252" w:lineRule="auto"/>
        <w:widowControl/>
      </w:pPr>
      <w:r>
        <w:rPr>
          <w:rFonts w:ascii="Aptos" w:hAnsi="Aptos"/>
          <w:sz w:val="20"/>
        </w:rPr>
        <w:t>Round reconstruction increasingly relied on structural/source-aware evidence rather than superficial labels such as “knife round.”</w:t>
      </w:r>
    </w:p>
    <w:p>
      <w:pPr>
        <w:pStyle w:val="ListBullet"/>
        <w:spacing w:after="50" w:line="252" w:lineRule="auto"/>
        <w:widowControl/>
      </w:pPr>
      <w:r>
        <w:rPr>
          <w:rFonts w:ascii="Aptos" w:hAnsi="Aptos"/>
          <w:sz w:val="20"/>
        </w:rPr>
        <w:t>UNKNOWN or unavailable state was preserved rather than converted to false/loss/zero.</w:t>
      </w:r>
    </w:p>
    <w:p>
      <w:pPr>
        <w:pStyle w:val="ListBullet"/>
        <w:spacing w:after="50" w:line="252" w:lineRule="auto"/>
        <w:widowControl/>
      </w:pPr>
      <w:r>
        <w:rPr>
          <w:rFonts w:ascii="Aptos" w:hAnsi="Aptos"/>
          <w:sz w:val="20"/>
        </w:rPr>
        <w:t>SteamID64 exactness became a system-level invariant rather than an implementation detail.</w:t>
      </w:r>
    </w:p>
    <w:p>
      <w:pPr>
        <w:pStyle w:val="ListBullet"/>
        <w:spacing w:after="50" w:line="252" w:lineRule="auto"/>
        <w:widowControl/>
      </w:pPr>
      <w:r>
        <w:rPr>
          <w:rFonts w:ascii="Aptos" w:hAnsi="Aptos"/>
          <w:sz w:val="20"/>
        </w:rPr>
        <w:t>Hard integrity contradictions were treated as data problems before player problems.</w:t>
      </w:r>
    </w:p>
    <w:p>
      <w:pPr>
        <w:pStyle w:val="Heading2"/>
        <w:keepNext/>
        <w:spacing w:before="140" w:after="100"/>
        <w:widowControl/>
      </w:pPr>
      <w:r>
        <w:rPr>
          <w:rFonts w:ascii="Aptos" w:hAnsi="Aptos"/>
          <w:b/>
          <w:color w:val="1F4E79"/>
          <w:sz w:val="26"/>
        </w:rPr>
        <w:t>8. v7/v7.7 added richer context, then discovered the limits of “more telemetry”</w:t>
      </w:r>
    </w:p>
    <w:p>
      <w:pPr>
        <w:spacing w:after="100" w:line="259" w:lineRule="auto"/>
        <w:widowControl/>
      </w:pPr>
      <w:r>
        <w:rPr>
          <w:rFonts w:ascii="Aptos" w:hAnsi="Aptos"/>
          <w:i w:val="0"/>
          <w:sz w:val="21"/>
        </w:rPr>
        <w:t>The v7 line expanded combat event state, high-frequency engagement windows, horizontal geometry, spotted-state approximations, teammate distance/spacing context, utility/economy relationships, capability probing and deep-mode escalation. However, the project also found that dense tick state, input history and projectile detail could dominate storage and model context without proportional coaching value.</w:t>
      </w:r>
    </w:p>
    <w:p>
      <w:pPr>
        <w:spacing w:after="100" w:line="259" w:lineRule="auto"/>
        <w:widowControl/>
      </w:pPr>
      <w:r>
        <w:rPr>
          <w:rFonts w:ascii="Aptos" w:hAnsi="Aptos"/>
          <w:i w:val="0"/>
          <w:sz w:val="21"/>
        </w:rPr>
        <w:t>A significant design lesson was that the correct optimization was not necessarily to stop collecting dense evidence. In one case, disabling dense engagement ticks reduced file size but also removed the contact/movement/geometry features that made the extraction useful. The preferred pattern became: collect dense evidence temporarily when needed, derive a bounded product, then discard or avoid persisting the raw dense rows. This became the ancestor of later “broad first, rich later” and lazy-evidence policies.</w:t>
      </w:r>
    </w:p>
    <w:p>
      <w:pPr>
        <w:pStyle w:val="Heading2"/>
        <w:keepNext/>
        <w:spacing w:before="140" w:after="100"/>
        <w:widowControl/>
      </w:pPr>
      <w:r>
        <w:rPr>
          <w:rFonts w:ascii="Aptos" w:hAnsi="Aptos"/>
          <w:b/>
          <w:color w:val="1F4E79"/>
          <w:sz w:val="26"/>
        </w:rPr>
        <w:t>9. Source family became part of measurement semantics</w:t>
      </w:r>
    </w:p>
    <w:p>
      <w:pPr>
        <w:spacing w:after="100" w:line="259" w:lineRule="auto"/>
        <w:widowControl/>
      </w:pPr>
      <w:r>
        <w:rPr>
          <w:rFonts w:ascii="Aptos" w:hAnsi="Aptos"/>
          <w:i w:val="0"/>
          <w:sz w:val="21"/>
        </w:rPr>
        <w:t>The large Stage 1 corpus exposed material differences between FACEIT and tournament SourceTV streams. In the archived Stage-1 lineage, the corpus reached 214 demo folders and later 218 after a small Premier addition; Stage 2 later expanded the broader project corpus to 357 folders. FACEIT exposed event streams such as player_blind and certain action events in that corpus, while tournament SourceTV lacked several of them. The absence of a stream could therefore not be interpreted as zero occurrences.</w:t>
      </w:r>
    </w:p>
    <w:tbl>
      <w:tblPr>
        <w:tblW w:type="auto" w:w="0"/>
        <w:jc w:val="center"/>
        <w:tblLayout w:type="autofit"/>
        <w:tblLook w:firstColumn="1" w:firstRow="1" w:lastColumn="0" w:lastRow="0" w:noHBand="0" w:noVBand="1" w:val="04A0"/>
      </w:tblPr>
      <w:tblGrid>
        <w:gridCol w:w="10080"/>
      </w:tblGrid>
      <w:tr>
        <w:tc>
          <w:tcPr>
            <w:tcW w:type="dxa" w:w="10080"/>
            <w:shd w:fill="FFF2CC"/>
            <w:tcMar>
              <w:top w:w="110" w:type="dxa"/>
              <w:start w:w="120" w:type="dxa"/>
              <w:bottom w:w="110" w:type="dxa"/>
              <w:end w:w="120" w:type="dxa"/>
            </w:tcMar>
            <w:tcBorders>
              <w:top w:val="nil"/>
              <w:left w:val="single" w:sz="18" w:color="BF9000"/>
              <w:bottom w:val="nil"/>
              <w:right w:val="nil"/>
            </w:tcBorders>
          </w:tcPr>
          <w:p>
            <w:r>
              <w:rPr>
                <w:rFonts w:ascii="Aptos" w:hAnsi="Aptos"/>
                <w:b/>
                <w:color w:val="1F4E79"/>
                <w:sz w:val="20"/>
              </w:rPr>
              <w:t>Stage 1 measurement lesson</w:t>
            </w:r>
          </w:p>
          <w:p>
            <w:pPr>
              <w:spacing w:after="0"/>
            </w:pPr>
            <w:r>
              <w:rPr>
                <w:rFonts w:ascii="Aptos" w:hAnsi="Aptos"/>
                <w:color w:val="263746"/>
                <w:sz w:val="19"/>
              </w:rPr>
              <w:t>“Missing event stream” and “observed zero events” became different states. This distinction later expanded into CapabilityManifest, AVAILABLE/LIMITED/UNAVAILABLE/UNKNOWN states, claim ceilings and source-scoped analysis.</w:t>
            </w:r>
          </w:p>
        </w:tc>
      </w:tr>
    </w:tbl>
    <w:p>
      <w:pPr>
        <w:spacing w:after="20"/>
        <w:widowControl/>
      </w:pPr>
    </w:p>
    <w:p>
      <w:pPr>
        <w:pStyle w:val="Heading2"/>
        <w:keepNext/>
        <w:spacing w:before="140" w:after="100"/>
        <w:widowControl/>
      </w:pPr>
      <w:r>
        <w:rPr>
          <w:rFonts w:ascii="Aptos" w:hAnsi="Aptos"/>
          <w:b/>
          <w:color w:val="1F4E79"/>
          <w:sz w:val="26"/>
        </w:rPr>
        <w:t>10. Professional references shifted from targets to context</w:t>
      </w:r>
    </w:p>
    <w:p>
      <w:pPr>
        <w:spacing w:after="100" w:line="259" w:lineRule="auto"/>
        <w:widowControl/>
      </w:pPr>
      <w:r>
        <w:rPr>
          <w:rFonts w:ascii="Aptos" w:hAnsi="Aptos"/>
          <w:i w:val="0"/>
          <w:sz w:val="21"/>
        </w:rPr>
        <w:t>The corpus included professional players such as donk and mezii in different contexts. Rather than treating a professional average as a universal target, the project began using professional or reference evidence as context: a comparable PUG setting might illuminate mechanics or solo-queue behavior, while tournament evidence might illuminate structured-team behavior. This distinction later became an explicit prohibition on using “pro mean = player target.”</w:t>
      </w:r>
    </w:p>
    <w:p>
      <w:pPr>
        <w:pStyle w:val="Heading2"/>
        <w:keepNext/>
        <w:spacing w:before="140" w:after="100"/>
        <w:widowControl/>
      </w:pPr>
      <w:r>
        <w:rPr>
          <w:rFonts w:ascii="Aptos" w:hAnsi="Aptos"/>
          <w:b/>
          <w:color w:val="1F4E79"/>
          <w:sz w:val="26"/>
        </w:rPr>
        <w:t>11. “Clean coach” and engineering lab separation</w:t>
      </w:r>
    </w:p>
    <w:p>
      <w:pPr>
        <w:spacing w:after="100" w:line="259" w:lineRule="auto"/>
        <w:widowControl/>
      </w:pPr>
      <w:r>
        <w:rPr>
          <w:rFonts w:ascii="Aptos" w:hAnsi="Aptos"/>
          <w:i w:val="0"/>
          <w:sz w:val="21"/>
        </w:rPr>
        <w:t>Stage 1 introduced a process separation between an engineering/parser-development workspace and a clean coaching workspace. The engineering environment could contain broken hypotheses, debugging outputs and experiments. The clean coach was expected to consume only promoted data/contracts and pass an onboarding-style understanding check before giving advice. This pattern foreshadowed later distinctions between evidence plane, Analyst Desk, Player Study and debug/evidence explorers.</w:t>
      </w:r>
    </w:p>
    <w:p>
      <w:pPr>
        <w:pStyle w:val="Heading2"/>
        <w:keepNext/>
        <w:spacing w:before="140" w:after="100"/>
        <w:widowControl/>
      </w:pPr>
      <w:r>
        <w:rPr>
          <w:rFonts w:ascii="Aptos" w:hAnsi="Aptos"/>
          <w:b/>
          <w:color w:val="1F4E79"/>
          <w:sz w:val="26"/>
        </w:rPr>
        <w:t>12. Longitudinal coaching changed the unit of analysis</w:t>
      </w:r>
    </w:p>
    <w:p>
      <w:pPr>
        <w:spacing w:after="100" w:line="259" w:lineRule="auto"/>
        <w:widowControl/>
      </w:pPr>
      <w:r>
        <w:rPr>
          <w:rFonts w:ascii="Aptos" w:hAnsi="Aptos"/>
          <w:i w:val="0"/>
          <w:sz w:val="21"/>
        </w:rPr>
        <w:t>The most consequential Stage 1 learning did not come from a single match. Multiple FACEIT batches for CanadianIQ occurred between coaching interventions, which allowed the project to observe that findings could improve, fail to persist, strengthen with sample size or reverse later. Examples recorded in v2.1 included opening-fight performance improving after early weak batches, flash behavior changing but not monotonically, Dust2 survivability improving while kill output remained similar, Anubis strengthening as sample size grew, Mirage cooling after earlier strength, and teammate connectivity improving later than raw fight performance.</w:t>
      </w:r>
    </w:p>
    <w:p>
      <w:pPr>
        <w:spacing w:after="100" w:line="259" w:lineRule="auto"/>
        <w:widowControl/>
      </w:pPr>
      <w:r>
        <w:rPr>
          <w:rFonts w:ascii="Aptos" w:hAnsi="Aptos"/>
          <w:i w:val="0"/>
          <w:sz w:val="21"/>
        </w:rPr>
        <w:t>The project interpreted this history as evidence that the unit of coaching should be a recurrent behavior with scope and lifecycle rather than a collection of “bad events.” The eventual learning-loop framing became: identify a recurrent behavior, test scope/mechanism, teach one change, then measure whether the behavior changes and stays changed.</w:t>
      </w:r>
    </w:p>
    <w:p>
      <w:pPr>
        <w:pStyle w:val="Heading2"/>
        <w:keepNext/>
        <w:spacing w:before="140" w:after="100"/>
        <w:widowControl/>
      </w:pPr>
      <w:r>
        <w:rPr>
          <w:rFonts w:ascii="Aptos" w:hAnsi="Aptos"/>
          <w:b/>
          <w:color w:val="1F4E79"/>
          <w:sz w:val="26"/>
        </w:rPr>
        <w:t>13. Stage 1 outcome and unresolved space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8"/>
              </w:rPr>
              <w:t>Dimension</w:t>
            </w:r>
          </w:p>
        </w:tc>
        <w:tc>
          <w:tcPr>
            <w:tcW w:type="dxa" w:w="763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8"/>
              </w:rPr>
              <w:t>Stage 1 record</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What Stage 1 established</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All-player context; exact identity; structural round handling; source capability awareness; bounded dense evidence; longitudinal re-testing; professional references as context.</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What Stage 1 falsified</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Target-only extraction; missing=zero/loss; float-like identity handling; simplistic warmup/knife assumptions; “more telemetry automatically means better coaching.”</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What it did not resolve</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Historically correct spatial context; formal recurrence/denominator statistics; generalizable coaching qualification; polished player-facing visual teaching.</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Transition into Stage 2</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Once literal/event evidence was substantially hardened, attention shifted toward map-aware path/LOS/exposure context and historical geometry provenance.</w:t>
            </w:r>
          </w:p>
        </w:tc>
      </w:tr>
    </w:tbl>
    <w:p>
      <w:pPr>
        <w:spacing w:after="20"/>
        <w:widowControl/>
      </w:pPr>
    </w:p>
    <w:p>
      <w:pPr>
        <w:widowControl/>
      </w:pPr>
      <w:r>
        <w:br w:type="page"/>
      </w:r>
    </w:p>
    <w:p>
      <w:pPr>
        <w:pStyle w:val="Heading1"/>
        <w:keepNext/>
        <w:spacing w:before="200" w:after="100"/>
        <w:widowControl/>
      </w:pPr>
      <w:r>
        <w:rPr>
          <w:rFonts w:ascii="Aptos" w:hAnsi="Aptos"/>
          <w:b/>
          <w:color w:val="17365D"/>
          <w:sz w:val="32"/>
        </w:rPr>
        <w:t>Part III — Project Stage 2: spatial evidence, historical assets and provenance</w:t>
      </w:r>
    </w:p>
    <w:p>
      <w:pPr>
        <w:pStyle w:val="Heading2"/>
        <w:keepNext/>
        <w:spacing w:before="140" w:after="100"/>
        <w:widowControl/>
      </w:pPr>
      <w:r>
        <w:rPr>
          <w:rFonts w:ascii="Aptos" w:hAnsi="Aptos"/>
          <w:b/>
          <w:color w:val="1F4E79"/>
          <w:sz w:val="26"/>
        </w:rPr>
        <w:t>14. Stage 2 entry question</w:t>
      </w:r>
    </w:p>
    <w:p>
      <w:pPr>
        <w:spacing w:after="100" w:line="259" w:lineRule="auto"/>
        <w:widowControl/>
      </w:pPr>
      <w:r>
        <w:rPr>
          <w:rFonts w:ascii="Aptos" w:hAnsi="Aptos"/>
          <w:i w:val="0"/>
          <w:sz w:val="21"/>
        </w:rPr>
        <w:t>Stage 2 began after the literal/event timeline was substantially hardened. Its purpose was to test whether map-aware evidence could add line-of-sight, exposure, path and spatial context without contaminating historical demos or converting geometric sensors into tactical conclusions.</w:t>
      </w:r>
    </w:p>
    <w:p>
      <w:pPr>
        <w:spacing w:after="100"/>
        <w:widowControl/>
      </w:pPr>
      <w:r>
        <w:rPr>
          <w:rFonts w:ascii="Aptos" w:hAnsi="Aptos"/>
          <w:i/>
          <w:color w:val="6B7785"/>
          <w:sz w:val="17"/>
        </w:rPr>
        <w:t>Source basis: Design v2.1 A.10; Stage 12E–12J artifact lineage.</w:t>
      </w:r>
    </w:p>
    <w:p>
      <w:pPr>
        <w:pStyle w:val="Heading2"/>
        <w:keepNext/>
        <w:spacing w:before="140" w:after="100"/>
        <w:widowControl/>
      </w:pPr>
      <w:r>
        <w:rPr>
          <w:rFonts w:ascii="Aptos" w:hAnsi="Aptos"/>
          <w:b/>
          <w:color w:val="1F4E79"/>
          <w:sz w:val="26"/>
        </w:rPr>
        <w:t>15. Historical geometry turned out to be a provenance problem</w:t>
      </w:r>
    </w:p>
    <w:p>
      <w:pPr>
        <w:spacing w:after="100" w:line="259" w:lineRule="auto"/>
        <w:widowControl/>
      </w:pPr>
      <w:r>
        <w:rPr>
          <w:rFonts w:ascii="Aptos" w:hAnsi="Aptos"/>
          <w:i w:val="0"/>
          <w:sz w:val="21"/>
        </w:rPr>
        <w:t>A tempting shortcut would have been to use current 2026 map geometry to render exact-looking spatial claims about 2025 demos. Stage 2 explicitly rejected that shortcut. The resulting rule was that map, NAV, collision and later radar/viewer assets needed source-version provenance and a defensible binding to the demo period. A visually plausible current asset could still be historically wrong.</w:t>
      </w:r>
    </w:p>
    <w:p>
      <w:pPr>
        <w:spacing w:after="100" w:line="259" w:lineRule="auto"/>
        <w:widowControl/>
      </w:pPr>
      <w:r>
        <w:rPr>
          <w:rFonts w:ascii="Aptos" w:hAnsi="Aptos"/>
          <w:i w:val="0"/>
          <w:sz w:val="21"/>
        </w:rPr>
        <w:t>This constraint later affected real-map viewer ambitions. It is one reason the project has repeatedly accepted a schematic fallback rather than presenting an exact-looking map overlay without verified transform/provenance.</w:t>
      </w:r>
    </w:p>
    <w:p>
      <w:pPr>
        <w:pStyle w:val="Heading2"/>
        <w:keepNext/>
        <w:spacing w:before="140" w:after="100"/>
        <w:widowControl/>
      </w:pPr>
      <w:r>
        <w:rPr>
          <w:rFonts w:ascii="Aptos" w:hAnsi="Aptos"/>
          <w:b/>
          <w:color w:val="1F4E79"/>
          <w:sz w:val="26"/>
        </w:rPr>
        <w:t>16. NAV, place names, collision and visibility were separated</w:t>
      </w:r>
    </w:p>
    <w:p>
      <w:pPr>
        <w:spacing w:after="100" w:line="259" w:lineRule="auto"/>
        <w:widowControl/>
      </w:pPr>
      <w:r>
        <w:rPr>
          <w:rFonts w:ascii="Aptos" w:hAnsi="Aptos"/>
          <w:i w:val="0"/>
          <w:sz w:val="21"/>
        </w:rPr>
        <w:t>Stage 2 established that several spatial channels answer different questions. NAV can represent walkable areas/connectivity. VPhys/triangle/BVH collision can provide static obstruction evidence. Pawn last_place_name is an engine-supplied place-string channel. Smoke is a time-varying occlusion/context channel. Doors, breakables and dynamic solids remain another category. None of these alone establishes what a player perceived or understood.</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Channel</w:t>
            </w:r>
          </w:p>
        </w:tc>
        <w:tc>
          <w:tcPr>
            <w:tcW w:type="dxa" w:w="410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What it can support</w:t>
            </w:r>
          </w:p>
        </w:tc>
        <w:tc>
          <w:tcPr>
            <w:tcW w:type="dxa" w:w="410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What it does not establish</w:t>
            </w:r>
          </w:p>
        </w:tc>
      </w:tr>
      <w:tr>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NAV</w:t>
            </w:r>
          </w:p>
        </w:tc>
        <w:tc>
          <w:tcPr>
            <w:tcW w:type="dxa" w:w="410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Walkable/connectivity/path context where supported.</w:t>
            </w:r>
          </w:p>
        </w:tc>
        <w:tc>
          <w:tcPr>
            <w:tcW w:type="dxa" w:w="410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Does not prove visibility, intent or awareness.</w:t>
            </w:r>
          </w:p>
        </w:tc>
      </w:tr>
      <w:tr>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Static collision / VPhys</w:t>
            </w:r>
          </w:p>
        </w:tc>
        <w:tc>
          <w:tcPr>
            <w:tcW w:type="dxa" w:w="410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Whether a static ray/path intersects static geometry under the tested model.</w:t>
            </w:r>
          </w:p>
        </w:tc>
        <w:tc>
          <w:tcPr>
            <w:tcW w:type="dxa" w:w="410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Does not include dynamic occluders automatically; “clear” is not “player saw.”</w:t>
            </w:r>
          </w:p>
        </w:tc>
      </w:tr>
      <w:tr>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Smoke state</w:t>
            </w:r>
          </w:p>
        </w:tc>
        <w:tc>
          <w:tcPr>
            <w:tcW w:type="dxa" w:w="410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Time-varying occlusion/context.</w:t>
            </w:r>
          </w:p>
        </w:tc>
        <w:tc>
          <w:tcPr>
            <w:tcW w:type="dxa" w:w="410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Requires temporal/spatial validation; separate from static geometry.</w:t>
            </w:r>
          </w:p>
        </w:tc>
      </w:tr>
      <w:tr>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Engine place string</w:t>
            </w:r>
          </w:p>
        </w:tc>
        <w:tc>
          <w:tcPr>
            <w:tcW w:type="dxa" w:w="410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Named location channel from the game state.</w:t>
            </w:r>
          </w:p>
        </w:tc>
        <w:tc>
          <w:tcPr>
            <w:tcW w:type="dxa" w:w="410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Not equivalent to NAV polygon identity or tactical phase.</w:t>
            </w:r>
          </w:p>
        </w:tc>
      </w:tr>
      <w:tr>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Dynamic solids</w:t>
            </w:r>
          </w:p>
        </w:tc>
        <w:tc>
          <w:tcPr>
            <w:tcW w:type="dxa" w:w="410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Doors, breakables and other stateful blockers.</w:t>
            </w:r>
          </w:p>
        </w:tc>
        <w:tc>
          <w:tcPr>
            <w:tcW w:type="dxa" w:w="410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Explicitly remained a future capability in the historical architecture.</w:t>
            </w:r>
          </w:p>
        </w:tc>
      </w:tr>
      <w:tr>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Radar/map image</w:t>
            </w:r>
          </w:p>
        </w:tc>
        <w:tc>
          <w:tcPr>
            <w:tcW w:type="dxa" w:w="410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Presentation/reference surface.</w:t>
            </w:r>
          </w:p>
        </w:tc>
        <w:tc>
          <w:tcPr>
            <w:tcW w:type="dxa" w:w="410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Requires transform/provenance and rights/distribution handling.</w:t>
            </w:r>
          </w:p>
        </w:tc>
      </w:tr>
    </w:tbl>
    <w:p>
      <w:pPr>
        <w:spacing w:after="20"/>
        <w:widowControl/>
      </w:pPr>
    </w:p>
    <w:p>
      <w:pPr>
        <w:pStyle w:val="Heading2"/>
        <w:keepNext/>
        <w:spacing w:before="140" w:after="100"/>
        <w:widowControl/>
      </w:pPr>
      <w:r>
        <w:rPr>
          <w:rFonts w:ascii="Aptos" w:hAnsi="Aptos"/>
          <w:b/>
          <w:color w:val="1F4E79"/>
          <w:sz w:val="26"/>
        </w:rPr>
        <w:t>17. Spatial evidence was deliberately prevented from becoming tactical truth</w:t>
      </w:r>
    </w:p>
    <w:p>
      <w:pPr>
        <w:spacing w:after="100" w:line="259" w:lineRule="auto"/>
        <w:widowControl/>
      </w:pPr>
      <w:r>
        <w:rPr>
          <w:rFonts w:ascii="Aptos" w:hAnsi="Aptos"/>
          <w:i w:val="0"/>
          <w:sz w:val="21"/>
        </w:rPr>
        <w:t>A core Stage 2 boundary was that local software could produce spatial evidence while the reasoning layer interpreted context. The project avoided labels such as “the player saw the enemy” when the underlying sensor only established static geometric clearance. This distinction later hardened into claim-language rules: static collision clear is not awareness; low velocity is not held angle; untraded is not untradeable; and before/after association is not causality.</w:t>
      </w:r>
    </w:p>
    <w:p>
      <w:pPr>
        <w:pStyle w:val="Heading2"/>
        <w:keepNext/>
        <w:spacing w:before="140" w:after="100"/>
        <w:widowControl/>
      </w:pPr>
      <w:r>
        <w:rPr>
          <w:rFonts w:ascii="Aptos" w:hAnsi="Aptos"/>
          <w:b/>
          <w:color w:val="1F4E79"/>
          <w:sz w:val="26"/>
        </w:rPr>
        <w:t>18. Stage 2 ended with a broader corpus and a narrower semantic boundary</w:t>
      </w:r>
    </w:p>
    <w:p>
      <w:pPr>
        <w:spacing w:after="100" w:line="259" w:lineRule="auto"/>
        <w:widowControl/>
      </w:pPr>
      <w:r>
        <w:rPr>
          <w:rFonts w:ascii="Aptos" w:hAnsi="Aptos"/>
          <w:i w:val="0"/>
          <w:sz w:val="21"/>
        </w:rPr>
        <w:t>The broader project corpus grew to 357 demo folders after Austin Major 2025 and StarLadder 2025 datasets were added. The important Stage 2 outcome was not simply “more spatial data.” It was a more explicit separation between correctness/provenance in local software and contextual judgment in the reasoning layer.</w:t>
      </w:r>
    </w:p>
    <w:p>
      <w:pPr>
        <w:pStyle w:val="Heading2"/>
        <w:keepNext/>
        <w:spacing w:before="140" w:after="100"/>
        <w:widowControl/>
      </w:pPr>
      <w:r>
        <w:rPr>
          <w:rFonts w:ascii="Aptos" w:hAnsi="Aptos"/>
          <w:b/>
          <w:color w:val="1F4E79"/>
          <w:sz w:val="26"/>
        </w:rPr>
        <w:t>19. Spatial debts that remained open</w:t>
      </w:r>
    </w:p>
    <w:p>
      <w:pPr>
        <w:pStyle w:val="ListBullet"/>
        <w:spacing w:after="50" w:line="252" w:lineRule="auto"/>
        <w:widowControl/>
      </w:pPr>
      <w:r>
        <w:rPr>
          <w:rFonts w:ascii="Aptos" w:hAnsi="Aptos"/>
          <w:sz w:val="20"/>
        </w:rPr>
        <w:t>Dynamic occlusion and stateful geometry remained more complex than static collision.</w:t>
      </w:r>
    </w:p>
    <w:p>
      <w:pPr>
        <w:pStyle w:val="ListBullet"/>
        <w:spacing w:after="50" w:line="252" w:lineRule="auto"/>
        <w:widowControl/>
      </w:pPr>
      <w:r>
        <w:rPr>
          <w:rFonts w:ascii="Aptos" w:hAnsi="Aptos"/>
          <w:sz w:val="20"/>
        </w:rPr>
        <w:t>Historical radar/overview binding and transform validation were not fully solved.</w:t>
      </w:r>
    </w:p>
    <w:p>
      <w:pPr>
        <w:pStyle w:val="ListBullet"/>
        <w:spacing w:after="50" w:line="252" w:lineRule="auto"/>
        <w:widowControl/>
      </w:pPr>
      <w:r>
        <w:rPr>
          <w:rFonts w:ascii="Aptos" w:hAnsi="Aptos"/>
          <w:sz w:val="20"/>
        </w:rPr>
        <w:t>Exact player-facing human-time semantics were still unresolved across source families.</w:t>
      </w:r>
    </w:p>
    <w:p>
      <w:pPr>
        <w:pStyle w:val="ListBullet"/>
        <w:spacing w:after="50" w:line="252" w:lineRule="auto"/>
        <w:widowControl/>
      </w:pPr>
      <w:r>
        <w:rPr>
          <w:rFonts w:ascii="Aptos" w:hAnsi="Aptos"/>
          <w:sz w:val="20"/>
        </w:rPr>
        <w:t>Spatial evidence coverage could vary by demo/source; UNKNOWN needed to remain explicit.</w:t>
      </w:r>
    </w:p>
    <w:p>
      <w:pPr>
        <w:pStyle w:val="ListBullet"/>
        <w:spacing w:after="50" w:line="252" w:lineRule="auto"/>
        <w:widowControl/>
      </w:pPr>
      <w:r>
        <w:rPr>
          <w:rFonts w:ascii="Aptos" w:hAnsi="Aptos"/>
          <w:sz w:val="20"/>
        </w:rPr>
        <w:t>A later independent assessment argued that smoke/fire intersection and other dynamic state should be treated as a production integrity risk; that recommendation remained an input rather than an automatically frozen architecture decision.</w:t>
      </w:r>
    </w:p>
    <w:p>
      <w:pPr>
        <w:pStyle w:val="Heading2"/>
        <w:keepNext/>
        <w:spacing w:before="140" w:after="100"/>
        <w:widowControl/>
      </w:pPr>
      <w:r>
        <w:rPr>
          <w:rFonts w:ascii="Aptos" w:hAnsi="Aptos"/>
          <w:b/>
          <w:color w:val="1F4E79"/>
          <w:sz w:val="26"/>
        </w:rPr>
        <w:t>20. Stage 2 outcome and transition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8"/>
              </w:rPr>
              <w:t>Dimension</w:t>
            </w:r>
          </w:p>
        </w:tc>
        <w:tc>
          <w:tcPr>
            <w:tcW w:type="dxa" w:w="763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8"/>
              </w:rPr>
              <w:t>Stage 2 record</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Established</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Version/provenance-aware spatial assets; separation of NAV vs collision vs smoke vs place strings; historical-source discipline; spatial claims bounded to sensor meaning.</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Falsified / avoided</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Current geometry as a silent historical substitute; “clear static ray = awareness”; collapsing navigation and collision into one truth channel.</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Still unresolved</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Dynamic solids/occlusion completeness, real-map/radar distribution/legal path, timing calibration and whether expensive spatial enrichment materially changes coaching conclusions.</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Transition into Stage 3</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With source/spatial semantics constrained, the next problem became productionizing the evidence plane for speed, integrity, neutral retrieval and scalable downstream use.</w:t>
            </w:r>
          </w:p>
        </w:tc>
      </w:tr>
    </w:tbl>
    <w:p>
      <w:pPr>
        <w:spacing w:after="20"/>
        <w:widowControl/>
      </w:pPr>
    </w:p>
    <w:p>
      <w:pPr>
        <w:widowControl/>
      </w:pPr>
      <w:r>
        <w:br w:type="page"/>
      </w:r>
    </w:p>
    <w:p>
      <w:pPr>
        <w:pStyle w:val="Heading1"/>
        <w:keepNext/>
        <w:spacing w:before="200" w:after="100"/>
        <w:widowControl/>
      </w:pPr>
      <w:r>
        <w:rPr>
          <w:rFonts w:ascii="Aptos" w:hAnsi="Aptos"/>
          <w:b/>
          <w:color w:val="17365D"/>
          <w:sz w:val="32"/>
        </w:rPr>
        <w:t>Part IV — Project Stage 3: productionizing the evidence plane</w:t>
      </w:r>
    </w:p>
    <w:p>
      <w:pPr>
        <w:pStyle w:val="Heading2"/>
        <w:keepNext/>
        <w:spacing w:before="140" w:after="100"/>
        <w:widowControl/>
      </w:pPr>
      <w:r>
        <w:rPr>
          <w:rFonts w:ascii="Aptos" w:hAnsi="Aptos"/>
          <w:b/>
          <w:color w:val="1F4E79"/>
          <w:sz w:val="26"/>
        </w:rPr>
        <w:t>21. Stage 3 entry condition: implementation assumptions had to be tested against the actual libraries</w:t>
      </w:r>
    </w:p>
    <w:p>
      <w:pPr>
        <w:spacing w:after="100" w:line="259" w:lineRule="auto"/>
        <w:widowControl/>
      </w:pPr>
      <w:r>
        <w:rPr>
          <w:rFonts w:ascii="Aptos" w:hAnsi="Aptos"/>
          <w:i w:val="0"/>
          <w:sz w:val="21"/>
        </w:rPr>
        <w:t>Stage 3 did not begin as a parser rewrite. The architecture and independent source review instead emphasized a freeze/profile-first sequence because the public Python surfaces of demoparser2/AWPy did not expose several capabilities earlier designs had implicitly assumed. The review treated READMEs as claims, inspected bindings and Rust internals, and compared intended architecture with actual dependency behavior.</w:t>
      </w:r>
    </w:p>
    <w:p>
      <w:pPr>
        <w:pStyle w:val="ListBullet"/>
        <w:spacing w:after="50" w:line="252" w:lineRule="auto"/>
        <w:widowControl/>
      </w:pPr>
      <w:r>
        <w:rPr>
          <w:rFonts w:ascii="Aptos" w:hAnsi="Aptos"/>
          <w:sz w:val="20"/>
        </w:rPr>
        <w:t>demoparser2’s Python usage is query-oriented; repeated parse calls can mean repeated full walks.</w:t>
      </w:r>
    </w:p>
    <w:p>
      <w:pPr>
        <w:pStyle w:val="ListBullet"/>
        <w:spacing w:after="50" w:line="252" w:lineRule="auto"/>
        <w:widowControl/>
      </w:pPr>
      <w:r>
        <w:rPr>
          <w:rFonts w:ascii="Aptos" w:hAnsi="Aptos"/>
          <w:sz w:val="20"/>
        </w:rPr>
        <w:t>Canonical tick backbone and events were not simply one public query.</w:t>
      </w:r>
    </w:p>
    <w:p>
      <w:pPr>
        <w:pStyle w:val="ListBullet"/>
        <w:spacing w:after="50" w:line="252" w:lineRule="auto"/>
        <w:widowControl/>
      </w:pPr>
      <w:r>
        <w:rPr>
          <w:rFonts w:ascii="Aptos" w:hAnsi="Aptos"/>
          <w:sz w:val="20"/>
        </w:rPr>
        <w:t>Filtered ticks were not equivalent to cheap random access.</w:t>
      </w:r>
    </w:p>
    <w:p>
      <w:pPr>
        <w:pStyle w:val="ListBullet"/>
        <w:spacing w:after="50" w:line="252" w:lineRule="auto"/>
        <w:widowControl/>
      </w:pPr>
      <w:r>
        <w:rPr>
          <w:rFonts w:ascii="Aptos" w:hAnsi="Aptos"/>
          <w:sz w:val="20"/>
        </w:rPr>
        <w:t>Desired parser thread controls were not exposed in the simple way earlier plans assumed.</w:t>
      </w:r>
    </w:p>
    <w:p>
      <w:pPr>
        <w:pStyle w:val="ListBullet"/>
        <w:spacing w:after="50" w:line="252" w:lineRule="auto"/>
        <w:widowControl/>
      </w:pPr>
      <w:r>
        <w:rPr>
          <w:rFonts w:ascii="Aptos" w:hAnsi="Aptos"/>
          <w:sz w:val="20"/>
        </w:rPr>
        <w:t>Some pandas conversion paths created an identity-exactness risk for SteamID64.</w:t>
      </w:r>
    </w:p>
    <w:p>
      <w:pPr>
        <w:pStyle w:val="ListBullet"/>
        <w:spacing w:after="50" w:line="252" w:lineRule="auto"/>
        <w:widowControl/>
      </w:pPr>
      <w:r>
        <w:rPr>
          <w:rFonts w:ascii="Aptos" w:hAnsi="Aptos"/>
          <w:sz w:val="20"/>
        </w:rPr>
        <w:t>AWPy’s demo/stats paths were not adopted as an authoritative replacement for the hardened extractor.</w:t>
      </w:r>
    </w:p>
    <w:p>
      <w:pPr>
        <w:spacing w:after="100"/>
        <w:widowControl/>
      </w:pPr>
      <w:r>
        <w:rPr>
          <w:rFonts w:ascii="Aptos" w:hAnsi="Aptos"/>
          <w:i/>
          <w:color w:val="6B7785"/>
          <w:sz w:val="17"/>
        </w:rPr>
        <w:t>Source basis: Design v2.1 A.11; independent architecture review artifact.</w:t>
      </w:r>
    </w:p>
    <w:p>
      <w:pPr>
        <w:pStyle w:val="Heading2"/>
        <w:keepNext/>
        <w:spacing w:before="140" w:after="100"/>
        <w:widowControl/>
      </w:pPr>
      <w:r>
        <w:rPr>
          <w:rFonts w:ascii="Aptos" w:hAnsi="Aptos"/>
          <w:b/>
          <w:color w:val="1F4E79"/>
          <w:sz w:val="26"/>
        </w:rPr>
        <w:t>22. M0–M8: performance and correctness became measured contracts</w:t>
      </w:r>
    </w:p>
    <w:p>
      <w:pPr>
        <w:spacing w:after="100" w:line="259" w:lineRule="auto"/>
        <w:widowControl/>
      </w:pPr>
      <w:r>
        <w:rPr>
          <w:rFonts w:ascii="Aptos" w:hAnsi="Aptos"/>
          <w:i w:val="0"/>
          <w:sz w:val="21"/>
        </w:rPr>
        <w:t>The M0–M8 line converted several architectural claims into measured behavior on a defined engineering/golden corpus. The numbers below are historical experiment results, not universal hardware guarantees.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Milestone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Focus</w:t>
            </w:r>
          </w:p>
        </w:tc>
        <w:tc>
          <w:tcPr>
            <w:tcW w:type="dxa" w:w="38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Recorded result</w:t>
            </w:r>
          </w:p>
        </w:tc>
        <w:tc>
          <w:tcPr>
            <w:tcW w:type="dxa" w:w="352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Interpretive consequence</w:t>
            </w:r>
          </w:p>
        </w:tc>
      </w:tr>
      <w:tr>
        <w:tc>
          <w:tcPr>
            <w:tcW w:type="dxa" w:w="10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M0</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Query/worker profiling</w:t>
            </w:r>
          </w:p>
        </w:tc>
        <w:tc>
          <w:tcPr>
            <w:tcW w:type="dxa" w:w="38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12-demo baseline ~508.6 s (~1.42 demos/min); fixed query plan ~50.7 s; best tested 8 workers × 3 Rayon threads ~16.89 s (~42.64 demos/min).</w:t>
            </w:r>
          </w:p>
        </w:tc>
        <w:tc>
          <w:tcPr>
            <w:tcW w:type="dxa" w:w="352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Parser/query structure and worker policy were empirically significant; the exact worker setting was not treated as universal.</w:t>
            </w:r>
          </w:p>
        </w:tc>
      </w:tr>
      <w:tr>
        <w:tc>
          <w:tcPr>
            <w:tcW w:type="dxa" w:w="10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M2.1.1</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State materialization</w:t>
            </w:r>
          </w:p>
        </w:tc>
        <w:tc>
          <w:tcPr>
            <w:tcW w:type="dxa" w:w="38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Median ~35.19 s → ~5.34 s (~6.59×) with equivalence.</w:t>
            </w:r>
          </w:p>
        </w:tc>
        <w:tc>
          <w:tcPr>
            <w:tcW w:type="dxa" w:w="352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Vectorization materially changed the economics of later stages.</w:t>
            </w:r>
          </w:p>
        </w:tc>
      </w:tr>
      <w:tr>
        <w:tc>
          <w:tcPr>
            <w:tcW w:type="dxa" w:w="10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M3.1</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Canonical world aggregation</w:t>
            </w:r>
          </w:p>
        </w:tc>
        <w:tc>
          <w:tcPr>
            <w:tcW w:type="dxa" w:w="38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Median ~34.33 s → ~0.117 s (~293.7×).</w:t>
            </w:r>
          </w:p>
        </w:tc>
        <w:tc>
          <w:tcPr>
            <w:tcW w:type="dxa" w:w="352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Architecture shifted toward efficient canonical products rather than repeated expensive reconstruction.</w:t>
            </w:r>
          </w:p>
        </w:tc>
      </w:tr>
      <w:tr>
        <w:tc>
          <w:tcPr>
            <w:tcW w:type="dxa" w:w="10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M4.2</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Spatial screening</w:t>
            </w:r>
          </w:p>
        </w:tc>
        <w:tc>
          <w:tcPr>
            <w:tcW w:type="dxa" w:w="38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~1.93M rays → ~610.6k; median ~3.09× ray reduction and ~3.21× collision speedup while deep probes remained exact against M4.</w:t>
            </w:r>
          </w:p>
        </w:tc>
        <w:tc>
          <w:tcPr>
            <w:tcW w:type="dxa" w:w="352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Spatial enrichment could be screened before expensive deep work.</w:t>
            </w:r>
          </w:p>
        </w:tc>
      </w:tr>
      <w:tr>
        <w:tc>
          <w:tcPr>
            <w:tcW w:type="dxa" w:w="10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M5–M7</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Integrity/candidate/packet chain</w:t>
            </w:r>
          </w:p>
        </w:tc>
        <w:tc>
          <w:tcPr>
            <w:tcW w:type="dxa" w:w="38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Numeric transition provenance, identity sanitization, UNKNOWN preservation, cross-round fallback prevention, typed raw events and byte limits.</w:t>
            </w:r>
          </w:p>
        </w:tc>
        <w:tc>
          <w:tcPr>
            <w:tcW w:type="dxa" w:w="352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Neutral evidence products were hardened before coaching use.</w:t>
            </w:r>
          </w:p>
        </w:tc>
      </w:tr>
      <w:tr>
        <w:tc>
          <w:tcPr>
            <w:tcW w:type="dxa" w:w="10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M8</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Handoff integrity</w:t>
            </w:r>
          </w:p>
        </w:tc>
        <w:tc>
          <w:tcPr>
            <w:tcW w:type="dxa" w:w="38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Verified 5,515 M7 packets and 11,422 player-index rows in six-demo engineering/golden corpus; 53 valid player bundles; zero defined identity/cross-round/event-integrity gate failures.</w:t>
            </w:r>
          </w:p>
        </w:tc>
        <w:tc>
          <w:tcPr>
            <w:tcW w:type="dxa" w:w="352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The handoff became mechanically trustworthy under its scope; it was not a full-corpus coaching validation.</w:t>
            </w:r>
          </w:p>
        </w:tc>
      </w:tr>
    </w:tbl>
    <w:p>
      <w:pPr>
        <w:spacing w:after="20"/>
        <w:widowControl/>
      </w:pPr>
    </w:p>
    <w:p>
      <w:pPr>
        <w:pStyle w:val="Heading2"/>
        <w:keepNext/>
        <w:spacing w:before="140" w:after="100"/>
        <w:widowControl/>
      </w:pPr>
      <w:r>
        <w:rPr>
          <w:rFonts w:ascii="Aptos" w:hAnsi="Aptos"/>
          <w:b/>
          <w:color w:val="1F4E79"/>
          <w:sz w:val="26"/>
        </w:rPr>
        <w:t>23. Evidence planes A–E formalized the separation of responsibilities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0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Plane</w:t>
            </w:r>
          </w:p>
        </w:tc>
        <w:tc>
          <w:tcPr>
            <w:tcW w:type="dxa" w:w="24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Role</w:t>
            </w:r>
          </w:p>
        </w:tc>
        <w:tc>
          <w:tcPr>
            <w:tcW w:type="dxa" w:w="676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Historical/current meaning</w:t>
            </w:r>
          </w:p>
        </w:tc>
      </w:tr>
      <w:tr>
        <w:tc>
          <w:tcPr>
            <w:tcW w:type="dxa" w:w="10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Plane A</w:t>
            </w:r>
          </w:p>
        </w:tc>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Validated evidence</w:t>
            </w:r>
          </w:p>
        </w:tc>
        <w:tc>
          <w:tcPr>
            <w:tcW w:type="dxa" w:w="676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Source-faithful facts, canonical rounds/state/events, identity, capability profiles, provenance/hashes. No tactical labels.</w:t>
            </w:r>
          </w:p>
        </w:tc>
      </w:tr>
      <w:tr>
        <w:tc>
          <w:tcPr>
            <w:tcW w:type="dxa" w:w="10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Plane B</w:t>
            </w:r>
          </w:p>
        </w:tc>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Deterministic relationships / neutral situations</w:t>
            </w:r>
          </w:p>
        </w:tc>
        <w:tc>
          <w:tcPr>
            <w:tcW w:type="dxa" w:w="676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Transitions, relationships, candidates and bounded SituationPackets; distinguishes established negative facts from UNKNOWN.</w:t>
            </w:r>
          </w:p>
        </w:tc>
      </w:tr>
      <w:tr>
        <w:tc>
          <w:tcPr>
            <w:tcW w:type="dxa" w:w="10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Plane C</w:t>
            </w:r>
          </w:p>
        </w:tc>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Deterministic tendency statistics</w:t>
            </w:r>
          </w:p>
        </w:tc>
        <w:tc>
          <w:tcPr>
            <w:tcW w:type="dxa" w:w="676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Opportunity/outcome predicates, denominators, UNKNOWN coverage, contexts, independent matches/maps/epochs, counterexamples, intervals/shrinkage/holdout, lifecycle/status.</w:t>
            </w:r>
          </w:p>
        </w:tc>
      </w:tr>
      <w:tr>
        <w:tc>
          <w:tcPr>
            <w:tcW w:type="dxa" w:w="10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Plane D</w:t>
            </w:r>
          </w:p>
        </w:tc>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AI analyst / mechanism synthesis</w:t>
            </w:r>
          </w:p>
        </w:tc>
        <w:tc>
          <w:tcPr>
            <w:tcW w:type="dxa" w:w="676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Receives qualified summaries, compares supplied contexts/counterexamples, requests representative evidence, considers mechanisms/alternatives and proposes teaching priorities within limits.</w:t>
            </w:r>
          </w:p>
        </w:tc>
      </w:tr>
      <w:tr>
        <w:tc>
          <w:tcPr>
            <w:tcW w:type="dxa" w:w="10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Plane E</w:t>
            </w:r>
          </w:p>
        </w:tc>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Learning intervention / player product</w:t>
            </w:r>
          </w:p>
        </w:tc>
        <w:tc>
          <w:tcPr>
            <w:tcW w:type="dxa" w:w="676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Cue, drill/practice where appropriate, teaching media, match transfer test, balancing metric and persistent CoachingPlan lifecycle.</w:t>
            </w:r>
          </w:p>
        </w:tc>
      </w:tr>
    </w:tbl>
    <w:p>
      <w:pPr>
        <w:spacing w:after="20"/>
        <w:widowControl/>
      </w:pPr>
    </w:p>
    <w:p>
      <w:pPr>
        <w:pStyle w:val="Heading2"/>
        <w:keepNext/>
        <w:spacing w:before="140" w:after="100"/>
        <w:widowControl/>
      </w:pPr>
      <w:r>
        <w:rPr>
          <w:rFonts w:ascii="Aptos" w:hAnsi="Aptos"/>
          <w:b/>
          <w:color w:val="1F4E79"/>
          <w:sz w:val="26"/>
        </w:rPr>
        <w:t>24. The first trusted post-M8 pilot separated evidence quality from coaching quality</w:t>
      </w:r>
    </w:p>
    <w:p>
      <w:pPr>
        <w:spacing w:after="100" w:line="259" w:lineRule="auto"/>
        <w:widowControl/>
      </w:pPr>
      <w:r>
        <w:rPr>
          <w:rFonts w:ascii="Aptos" w:hAnsi="Aptos"/>
          <w:i w:val="0"/>
          <w:sz w:val="21"/>
        </w:rPr>
        <w:t>After M8, a CanadianIQ pilot bundle contained 24 neutral-coverage packets selected from 237 situations across two demos. The project judged the handoff itself integrity-safe, but the resulting coaching response still failed product expectations: it was too long, too packet-by-packet, leaked technical telemetry, used precise but meaningless tick language and attempted to infer tendencies from too few independent matches. Analyst reasoning and player-facing coaching were also mixed together.</w:t>
      </w:r>
    </w:p>
    <w:tbl>
      <w:tblPr>
        <w:tblW w:type="auto" w:w="0"/>
        <w:jc w:val="center"/>
        <w:tblLayout w:type="autofit"/>
        <w:tblLook w:firstColumn="1" w:firstRow="1" w:lastColumn="0" w:lastRow="0" w:noHBand="0" w:noVBand="1" w:val="04A0"/>
      </w:tblPr>
      <w:tblGrid>
        <w:gridCol w:w="10080"/>
      </w:tblGrid>
      <w:tr>
        <w:tc>
          <w:tcPr>
            <w:tcW w:type="dxa" w:w="10080"/>
            <w:shd w:fill="FCE4D6"/>
            <w:tcMar>
              <w:top w:w="110" w:type="dxa"/>
              <w:start w:w="120" w:type="dxa"/>
              <w:bottom w:w="110" w:type="dxa"/>
              <w:end w:w="120" w:type="dxa"/>
            </w:tcMar>
            <w:tcBorders>
              <w:top w:val="nil"/>
              <w:left w:val="single" w:sz="18" w:color="C65911"/>
              <w:bottom w:val="nil"/>
              <w:right w:val="nil"/>
            </w:tcBorders>
          </w:tcPr>
          <w:p>
            <w:r>
              <w:rPr>
                <w:rFonts w:ascii="Aptos" w:hAnsi="Aptos"/>
                <w:b/>
                <w:color w:val="1F4E79"/>
                <w:sz w:val="20"/>
              </w:rPr>
              <w:t>Stage 3 product lesson</w:t>
            </w:r>
          </w:p>
          <w:p>
            <w:pPr>
              <w:spacing w:after="0"/>
            </w:pPr>
            <w:r>
              <w:rPr>
                <w:rFonts w:ascii="Aptos" w:hAnsi="Aptos"/>
                <w:color w:val="263746"/>
                <w:sz w:val="19"/>
              </w:rPr>
              <w:t>A trustworthy evidence system was not sufficient for a good coaching product. SituationPackets were evidence units, not coaching units; tendency qualification and human-learning/presentation design needed their own layers.</w:t>
            </w:r>
          </w:p>
        </w:tc>
      </w:tr>
    </w:tbl>
    <w:p>
      <w:pPr>
        <w:spacing w:after="20"/>
        <w:widowControl/>
      </w:pPr>
    </w:p>
    <w:p>
      <w:pPr>
        <w:pStyle w:val="Heading2"/>
        <w:keepNext/>
        <w:spacing w:before="140" w:after="100"/>
        <w:widowControl/>
      </w:pPr>
      <w:r>
        <w:rPr>
          <w:rFonts w:ascii="Aptos" w:hAnsi="Aptos"/>
          <w:b/>
          <w:color w:val="1F4E79"/>
          <w:sz w:val="26"/>
        </w:rPr>
        <w:t>25. V2.1 consultant synthesis widened the next-cycle requirements</w:t>
      </w:r>
    </w:p>
    <w:p>
      <w:pPr>
        <w:spacing w:after="100" w:line="259" w:lineRule="auto"/>
        <w:widowControl/>
      </w:pPr>
      <w:r>
        <w:rPr>
          <w:rFonts w:ascii="Aptos" w:hAnsi="Aptos"/>
          <w:i w:val="0"/>
          <w:sz w:val="21"/>
        </w:rPr>
        <w:t>Before reading external reviews, the project froze an internal self-red-team. V2.1 then recorded four external reviews. The strongest convergence concerned learning and statistics rather than parser mechanics: deterministic denominators before the LLM, recurrence/counterexamples, false-discovery protection, persistent coaching state, teaching-modality fit, second-player/generalization testing, model reliability and content-rights/security concerns. Several exact thresholds or methods were explicitly not adopted without calibration.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7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Disposition</w:t>
            </w:r>
          </w:p>
        </w:tc>
        <w:tc>
          <w:tcPr>
            <w:tcW w:type="dxa" w:w="770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Recorded treatment</w:t>
            </w:r>
          </w:p>
        </w:tc>
      </w:tr>
      <w:tr>
        <w:tc>
          <w:tcPr>
            <w:tcW w:type="dxa" w:w="23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Accepted into v2.1 architecture</w:t>
            </w:r>
          </w:p>
        </w:tc>
        <w:tc>
          <w:tcPr>
            <w:tcW w:type="dxa" w:w="770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Deterministic opportunity/recurrence statistics; predeclared tendency families; multiple-comparison/holdout protection; one primary priority; cue/drill/transfer separation; full-corpus integrity before recurrence promotion; spatial ablation; second-player gate; model reliability; rights/security; persistent CoachingPlan.</w:t>
            </w:r>
          </w:p>
        </w:tc>
      </w:tr>
      <w:tr>
        <w:tc>
          <w:tcPr>
            <w:tcW w:type="dxa" w:w="237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Accepted with modification</w:t>
            </w:r>
          </w:p>
        </w:tc>
        <w:tc>
          <w:tcPr>
            <w:tcW w:type="dxa" w:w="770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Freeze M0–M8 without blocking narrow repairs; start with simpler calibrated intervals/shrinkage before complex Bayesian stack; pro/peer references as context rather than universal promotion gate; optional LLM critic after deterministic gates; agentic retrieval only after qualification.</w:t>
            </w:r>
          </w:p>
        </w:tc>
      </w:tr>
      <w:tr>
        <w:tc>
          <w:tcPr>
            <w:tcW w:type="dxa" w:w="23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Rejected or kept experimental</w:t>
            </w:r>
          </w:p>
        </w:tc>
        <w:tc>
          <w:tcPr>
            <w:tcW w:type="dxa" w:w="770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Psychological “tilt” inference from score/economy; arbitrary 15% spatial sampling; mandatory sub-tick interpolation; uncalibrated opportunity/improvement/cue thresholds; opaque boolean-only LLM evidence summaries.</w:t>
            </w:r>
          </w:p>
        </w:tc>
      </w:tr>
    </w:tbl>
    <w:p>
      <w:pPr>
        <w:spacing w:after="20"/>
        <w:widowControl/>
      </w:pPr>
    </w:p>
    <w:p>
      <w:pPr>
        <w:pStyle w:val="Heading2"/>
        <w:keepNext/>
        <w:spacing w:before="140" w:after="100"/>
        <w:widowControl/>
      </w:pPr>
      <w:r>
        <w:rPr>
          <w:rFonts w:ascii="Aptos" w:hAnsi="Aptos"/>
          <w:b/>
          <w:color w:val="1F4E79"/>
          <w:sz w:val="26"/>
        </w:rPr>
        <w:t>26. Stage 3 outcome and unresolved space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8"/>
              </w:rPr>
              <w:t>Dimension</w:t>
            </w:r>
          </w:p>
        </w:tc>
        <w:tc>
          <w:tcPr>
            <w:tcW w:type="dxa" w:w="763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8"/>
              </w:rPr>
              <w:t>Stage 3 record</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Established</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Performance profiling, neutral evidence products, dependency/provenance discipline, explicit evidence planes, mechanically trustworthy packet handoff under tested scope.</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Falsified</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Assuming public dependency APIs matched design expectations; equating packet integrity with coaching usefulness; letting LLM discover recurrence/count denominators; raw tick/telemetry as normal player language.</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Still unresolved</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Full-corpus tendency qualification, player-internal lifecycle policy, generalization, human-time, teaching/replay fitness, rich product surfaces.</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Transition into Stage 4</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8"/>
              </w:rPr>
              <w:t>The next work shifted from “can the evidence be trusted?” toward “when does a pattern qualify, what can be taught, and how should a trustworthy finding reach a human user?”</w:t>
            </w:r>
          </w:p>
        </w:tc>
      </w:tr>
    </w:tbl>
    <w:p>
      <w:pPr>
        <w:spacing w:after="20"/>
        <w:widowControl/>
      </w:pPr>
    </w:p>
    <w:p>
      <w:pPr>
        <w:widowControl/>
      </w:pPr>
      <w:r>
        <w:br w:type="page"/>
      </w:r>
    </w:p>
    <w:p>
      <w:pPr>
        <w:pStyle w:val="Heading1"/>
        <w:keepNext/>
        <w:spacing w:before="200" w:after="100"/>
        <w:widowControl/>
      </w:pPr>
      <w:r>
        <w:rPr>
          <w:rFonts w:ascii="Aptos" w:hAnsi="Aptos"/>
          <w:b/>
          <w:color w:val="17365D"/>
          <w:sz w:val="32"/>
        </w:rPr>
        <w:t>Part V — Project Stage 4: tendency qualification, learning loops, platformization and report semantics</w:t>
      </w:r>
    </w:p>
    <w:p>
      <w:pPr>
        <w:pStyle w:val="Heading2"/>
        <w:keepNext/>
        <w:spacing w:before="140" w:after="100"/>
        <w:widowControl/>
      </w:pPr>
      <w:r>
        <w:rPr>
          <w:rFonts w:ascii="Aptos" w:hAnsi="Aptos"/>
          <w:b/>
          <w:color w:val="1F4E79"/>
          <w:sz w:val="26"/>
        </w:rPr>
        <w:t>27. Stage 4 is not one experiment; it contains several sub-phases</w:t>
      </w:r>
    </w:p>
    <w:p>
      <w:pPr>
        <w:spacing w:after="100" w:line="259" w:lineRule="auto"/>
        <w:widowControl/>
      </w:pPr>
      <w:r>
        <w:rPr>
          <w:rFonts w:ascii="Aptos" w:hAnsi="Aptos"/>
          <w:i w:val="0"/>
          <w:sz w:val="21"/>
        </w:rPr>
        <w:t>The current Stage 4 record spans deterministic tendency statistics, learning-loop experiments, replay/viewer work, spatial ablation, local-first vertical slices, a v3 platform redesign, implementation of shared-core/report/AI boundaries, human UX reviews and the current V4 compositional-report draft. The stage is therefore best understood as a sequence of progressively higher-level questions rather than a single build.</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Sub-phase</w:t>
            </w:r>
          </w:p>
        </w:tc>
        <w:tc>
          <w:tcPr>
            <w:tcW w:type="dxa" w:w="30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Focus</w:t>
            </w:r>
          </w:p>
        </w:tc>
        <w:tc>
          <w:tcPr>
            <w:tcW w:type="dxa" w:w="597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Question</w:t>
            </w:r>
          </w:p>
        </w:tc>
      </w:tr>
      <w:tr>
        <w:tc>
          <w:tcPr>
            <w:tcW w:type="dxa" w:w="9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4A</w:t>
            </w:r>
          </w:p>
        </w:tc>
        <w:tc>
          <w:tcPr>
            <w:tcW w:type="dxa" w:w="30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Deterministic tendency and qualification</w:t>
            </w:r>
          </w:p>
        </w:tc>
        <w:tc>
          <w:tcPr>
            <w:tcW w:type="dxa" w:w="59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Could recurrence, context and lifecycle be established without asking the LLM to count?</w:t>
            </w:r>
          </w:p>
        </w:tc>
      </w:tr>
      <w:tr>
        <w:tc>
          <w:tcPr>
            <w:tcW w:type="dxa" w:w="9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4B</w:t>
            </w:r>
          </w:p>
        </w:tc>
        <w:tc>
          <w:tcPr>
            <w:tcW w:type="dxa" w:w="30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Bounded coaching and learning loop</w:t>
            </w:r>
          </w:p>
        </w:tc>
        <w:tc>
          <w:tcPr>
            <w:tcW w:type="dxa" w:w="597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Could one qualified issue become one constrained coaching priority with uncertainty and a transfer test?</w:t>
            </w:r>
          </w:p>
        </w:tc>
      </w:tr>
      <w:tr>
        <w:tc>
          <w:tcPr>
            <w:tcW w:type="dxa" w:w="9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4C</w:t>
            </w:r>
          </w:p>
        </w:tc>
        <w:tc>
          <w:tcPr>
            <w:tcW w:type="dxa" w:w="30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Replay / spatial teaching</w:t>
            </w:r>
          </w:p>
        </w:tc>
        <w:tc>
          <w:tcPr>
            <w:tcW w:type="dxa" w:w="59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Could representative situations be shown deterministically without the viewer becoming a second evidence engine?</w:t>
            </w:r>
          </w:p>
        </w:tc>
      </w:tr>
      <w:tr>
        <w:tc>
          <w:tcPr>
            <w:tcW w:type="dxa" w:w="9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4D</w:t>
            </w:r>
          </w:p>
        </w:tc>
        <w:tc>
          <w:tcPr>
            <w:tcW w:type="dxa" w:w="30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Local-first product vertical slices</w:t>
            </w:r>
          </w:p>
        </w:tc>
        <w:tc>
          <w:tcPr>
            <w:tcW w:type="dxa" w:w="597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Could broad evidence, caching and multiple analysis modes reuse one shared local core?</w:t>
            </w:r>
          </w:p>
        </w:tc>
      </w:tr>
      <w:tr>
        <w:tc>
          <w:tcPr>
            <w:tcW w:type="dxa" w:w="9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4E</w:t>
            </w:r>
          </w:p>
        </w:tc>
        <w:tc>
          <w:tcPr>
            <w:tcW w:type="dxa" w:w="30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v3 architecture and implementation</w:t>
            </w:r>
          </w:p>
        </w:tc>
        <w:tc>
          <w:tcPr>
            <w:tcW w:type="dxa" w:w="59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Could the coaching-specific architecture generalize into a multi-mode demo-intelligence platform with thin AnalysisPacks and claim ceilings?</w:t>
            </w:r>
          </w:p>
        </w:tc>
      </w:tr>
      <w:tr>
        <w:tc>
          <w:tcPr>
            <w:tcW w:type="dxa" w:w="9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4F</w:t>
            </w:r>
          </w:p>
        </w:tc>
        <w:tc>
          <w:tcPr>
            <w:tcW w:type="dxa" w:w="30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Human product-semantic review</w:t>
            </w:r>
          </w:p>
        </w:tc>
        <w:tc>
          <w:tcPr>
            <w:tcW w:type="dxa" w:w="597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Could technically correct metrics, AI prose and viewers actually be understood and trusted by a player?</w:t>
            </w:r>
          </w:p>
        </w:tc>
      </w:tr>
      <w:tr>
        <w:tc>
          <w:tcPr>
            <w:tcW w:type="dxa" w:w="9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4G</w:t>
            </w:r>
          </w:p>
        </w:tc>
        <w:tc>
          <w:tcPr>
            <w:tcW w:type="dxa" w:w="30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 draft</w:t>
            </w:r>
          </w:p>
        </w:tc>
        <w:tc>
          <w:tcPr>
            <w:tcW w:type="dxa" w:w="59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Could Analyst Desk, Teaching Moments, module composition and longitudinal ReportBundles provide a stable product language without making reports rigid?</w:t>
            </w:r>
          </w:p>
        </w:tc>
      </w:tr>
    </w:tbl>
    <w:p>
      <w:pPr>
        <w:spacing w:after="20"/>
        <w:widowControl/>
      </w:pPr>
    </w:p>
    <w:p>
      <w:pPr>
        <w:pStyle w:val="Heading2"/>
        <w:keepNext/>
        <w:spacing w:before="140" w:after="100"/>
        <w:widowControl/>
      </w:pPr>
      <w:r>
        <w:rPr>
          <w:rFonts w:ascii="Aptos" w:hAnsi="Aptos"/>
          <w:b/>
          <w:color w:val="1F4E79"/>
          <w:sz w:val="26"/>
        </w:rPr>
        <w:t>28. Stage 4A — deterministic statistics and promotion policy</w:t>
      </w:r>
    </w:p>
    <w:p>
      <w:pPr>
        <w:spacing w:after="100" w:line="259" w:lineRule="auto"/>
        <w:widowControl/>
      </w:pPr>
      <w:r>
        <w:rPr>
          <w:rFonts w:ascii="Aptos" w:hAnsi="Aptos"/>
          <w:i w:val="0"/>
          <w:sz w:val="21"/>
        </w:rPr>
        <w:t>The M10/M11 lineage operationalized Plane C. Opening-engagement observations were aggregated across the broad corpus, empirical-Bayes shrinkage was calibrated, flash evidence was recognized as source-limited, and an opening context policy was frozen only after null-grid/multiple-comparison work. Death-connectivity products then added a high-coverage relationship family. Continuous distances/follow-up measures were kept descriptive and noncausal.</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Work</w:t>
            </w:r>
          </w:p>
        </w:tc>
        <w:tc>
          <w:tcPr>
            <w:tcW w:type="dxa" w:w="403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Recorded evidence</w:t>
            </w:r>
          </w:p>
        </w:tc>
        <w:tc>
          <w:tcPr>
            <w:tcW w:type="dxa" w:w="460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Lesson/status</w:t>
            </w:r>
          </w:p>
        </w:tc>
      </w:tr>
      <w:tr>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M10 opening</w:t>
            </w:r>
          </w:p>
        </w:tc>
        <w:tc>
          <w:tcPr>
            <w:tcW w:type="dxa" w:w="40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357-demo lineage; 14,750 opening observations; 4,116 aggregates; 891 players.</w:t>
            </w:r>
          </w:p>
        </w:tc>
        <w:tc>
          <w:tcPr>
            <w:tcW w:type="dxa" w:w="46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Established a broad deterministic opening family.</w:t>
            </w:r>
          </w:p>
        </w:tc>
      </w:tr>
      <w:tr>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M10.1 shrinkage</w:t>
            </w:r>
          </w:p>
        </w:tc>
        <w:tc>
          <w:tcPr>
            <w:tcW w:type="dxa" w:w="40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Empirical-Bayes alpha=beta≈19.1559.</w:t>
            </w:r>
          </w:p>
        </w:tc>
        <w:tc>
          <w:tcPr>
            <w:tcW w:type="dxa" w:w="46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Small-cell stabilization became calibrated rather than invented.</w:t>
            </w:r>
          </w:p>
        </w:tc>
      </w:tr>
      <w:tr>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M10.2 / M10.3 flash</w:t>
            </w:r>
          </w:p>
        </w:tc>
        <w:tc>
          <w:tcPr>
            <w:tcW w:type="dxa" w:w="40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Coverage limitations quantified; flash remained source-limited/research-only.</w:t>
            </w:r>
          </w:p>
        </w:tc>
        <w:tc>
          <w:tcPr>
            <w:tcW w:type="dxa" w:w="46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Missing event capability prevented universal recurrence claims.</w:t>
            </w:r>
          </w:p>
        </w:tc>
      </w:tr>
      <w:tr>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M10.4 opening policy</w:t>
            </w:r>
          </w:p>
        </w:tc>
        <w:tc>
          <w:tcPr>
            <w:tcW w:type="dxa" w:w="40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Opening context policy calibrated/frozen after initial validation issue; empirical max-|z| familywise control used.</w:t>
            </w:r>
          </w:p>
        </w:tc>
        <w:tc>
          <w:tcPr>
            <w:tcW w:type="dxa" w:w="46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Multiple-comparison protection became a concrete policy rather than a prose warning.</w:t>
            </w:r>
          </w:p>
        </w:tc>
      </w:tr>
      <w:tr>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M10.5 connectivity</w:t>
            </w:r>
          </w:p>
        </w:tc>
        <w:tc>
          <w:tcPr>
            <w:tcW w:type="dxa" w:w="40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50,060 deaths / 908 players in promoted death-connectivity evidence.</w:t>
            </w:r>
          </w:p>
        </w:tc>
        <w:tc>
          <w:tcPr>
            <w:tcW w:type="dxa" w:w="46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Provided a new high-coverage family distinct from raw opening outcome.</w:t>
            </w:r>
          </w:p>
        </w:tc>
      </w:tr>
      <w:tr>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M10.6–M10.11</w:t>
            </w:r>
          </w:p>
        </w:tc>
        <w:tc>
          <w:tcPr>
            <w:tcW w:type="dxa" w:w="40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Continuous distance/follow-up kept descriptive; provenance/LOS ablation/spatial policy explored.</w:t>
            </w:r>
          </w:p>
        </w:tc>
        <w:tc>
          <w:tcPr>
            <w:tcW w:type="dxa" w:w="46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Distance remained context, not a tactical spacing rule.</w:t>
            </w:r>
          </w:p>
        </w:tc>
      </w:tr>
    </w:tbl>
    <w:p>
      <w:pPr>
        <w:spacing w:after="20"/>
        <w:widowControl/>
      </w:pPr>
    </w:p>
    <w:p>
      <w:pPr>
        <w:pStyle w:val="Heading2"/>
        <w:keepNext/>
        <w:spacing w:before="140" w:after="100"/>
        <w:widowControl/>
      </w:pPr>
      <w:r>
        <w:rPr>
          <w:rFonts w:ascii="Aptos" w:hAnsi="Aptos"/>
          <w:b/>
          <w:color w:val="1F4E79"/>
          <w:sz w:val="26"/>
        </w:rPr>
        <w:t>29. Peer unusualness was found insufficient as a universal promotion gate</w:t>
      </w:r>
    </w:p>
    <w:p>
      <w:pPr>
        <w:spacing w:after="100" w:line="259" w:lineRule="auto"/>
        <w:widowControl/>
      </w:pPr>
      <w:r>
        <w:rPr>
          <w:rFonts w:ascii="Aptos" w:hAnsi="Aptos"/>
          <w:i w:val="0"/>
          <w:sz w:val="21"/>
        </w:rPr>
        <w:t>A series of replication/no-plan experiments initially tested whether candidate tendencies were also unusual relative to peers or replicated in another player. M11.3, M11.4/M11.5 lineage and later reviews produced repeated no-plan outcomes. M11.6 then explicitly concluded that peer unusualness/second-player anomaly replication could not serve as the universal Plane C promotion rule because a player-internal persistent behavior can still be coachable even if it is common in the population.</w:t>
      </w:r>
    </w:p>
    <w:p>
      <w:pPr>
        <w:spacing w:after="100" w:line="259" w:lineRule="auto"/>
        <w:widowControl/>
      </w:pPr>
      <w:r>
        <w:rPr>
          <w:rFonts w:ascii="Aptos" w:hAnsi="Aptos"/>
          <w:i w:val="0"/>
          <w:sz w:val="21"/>
        </w:rPr>
        <w:t>This led to a family-specific player-internal recurrence/lifecycle policy. M11.7 reported internal qualification of at least one existing production-catalogue family for bounded Plane D review. The prior peer thresholds were retained as context rather than erased, illustrating the project’s broader pattern of narrowing an over-broad rule rather than discarding useful evidence.</w:t>
      </w:r>
    </w:p>
    <w:p>
      <w:pPr>
        <w:pStyle w:val="Heading2"/>
        <w:keepNext/>
        <w:spacing w:before="140" w:after="100"/>
        <w:widowControl/>
      </w:pPr>
      <w:r>
        <w:rPr>
          <w:rFonts w:ascii="Aptos" w:hAnsi="Aptos"/>
          <w:b/>
          <w:color w:val="1F4E79"/>
          <w:sz w:val="26"/>
        </w:rPr>
        <w:t>30. Stage 4B — first bounded coaching priority</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15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Milestone</w:t>
            </w:r>
          </w:p>
        </w:tc>
        <w:tc>
          <w:tcPr>
            <w:tcW w:type="dxa" w:w="475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Action/result</w:t>
            </w:r>
          </w:p>
        </w:tc>
        <w:tc>
          <w:tcPr>
            <w:tcW w:type="dxa" w:w="453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Meaning</w:t>
            </w:r>
          </w:p>
        </w:tc>
      </w:tr>
      <w:tr>
        <w:tc>
          <w:tcPr>
            <w:tcW w:type="dxa" w:w="115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M11.8</w:t>
            </w:r>
          </w:p>
        </w:tc>
        <w:tc>
          <w:tcPr>
            <w:tcW w:type="dxa" w:w="475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Assembled deterministic representative evidence only for qualified families; no local coaching verdict.</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Separated evidence packet creation from coaching decision.</w:t>
            </w:r>
          </w:p>
        </w:tc>
      </w:tr>
      <w:tr>
        <w:tc>
          <w:tcPr>
            <w:tcW w:type="dxa" w:w="115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M11.9</w:t>
            </w:r>
          </w:p>
        </w:tc>
        <w:tc>
          <w:tcPr>
            <w:tcW w:type="dxa" w:w="475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Bounded Plane D returned no priority because mechanism evidence was insufficient; connectivity alone was selected for bounded evidence expansion.</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“No priority” became a valid outcome.</w:t>
            </w:r>
          </w:p>
        </w:tc>
      </w:tr>
      <w:tr>
        <w:tc>
          <w:tcPr>
            <w:tcW w:type="dxa" w:w="115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M12.0</w:t>
            </w:r>
          </w:p>
        </w:tc>
        <w:tc>
          <w:tcPr>
            <w:tcW w:type="dxa" w:w="475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Resolved six frozen connectivity observations against promoted canonical state/spatial evidence, preserving UNKNOWN where exact authorized evidence did not exist.</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Deep evidence was requested only after qualification, not as the recurrence detector.</w:t>
            </w:r>
          </w:p>
        </w:tc>
      </w:tr>
      <w:tr>
        <w:tc>
          <w:tcPr>
            <w:tcW w:type="dxa" w:w="115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M12.1</w:t>
            </w:r>
          </w:p>
        </w:tc>
        <w:tc>
          <w:tcPr>
            <w:tcW w:type="dxa" w:w="475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Activated first priority: “Connect your next fight.” Cue: “Before I commit, who can play the consequence with me?” Opening participation used as balancing metric; uncertainty language retained.</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Demonstrated one complete bounded learning-loop lineage for the focal player; did not establish general coaching validity.</w:t>
            </w:r>
          </w:p>
        </w:tc>
      </w:tr>
    </w:tbl>
    <w:p>
      <w:pPr>
        <w:spacing w:after="20"/>
        <w:widowControl/>
      </w:pPr>
    </w:p>
    <w:p>
      <w:pPr>
        <w:spacing w:after="100" w:line="259" w:lineRule="auto"/>
        <w:widowControl/>
      </w:pPr>
      <w:r>
        <w:rPr>
          <w:rFonts w:ascii="Aptos" w:hAnsi="Aptos"/>
          <w:i w:val="0"/>
          <w:sz w:val="21"/>
        </w:rPr>
        <w:t>The M12.1 handoff is notable because it constrained the plan to one primary priority, required a cue, drill, next-match transfer test, balancing metric and uncertainty, and explicitly prohibited unsupported line-of-sight/awareness/tradeability or distance-threshold claims. The underlying family status remained deterministic; the model did not change Plane C qualification.</w:t>
      </w:r>
    </w:p>
    <w:p>
      <w:pPr>
        <w:pStyle w:val="Heading2"/>
        <w:keepNext/>
        <w:spacing w:before="140" w:after="100"/>
        <w:widowControl/>
      </w:pPr>
      <w:r>
        <w:rPr>
          <w:rFonts w:ascii="Aptos" w:hAnsi="Aptos"/>
          <w:b/>
          <w:color w:val="1F4E79"/>
          <w:sz w:val="26"/>
        </w:rPr>
        <w:t>31. Stage 4C — replay teaching and spatial provenance</w:t>
      </w:r>
    </w:p>
    <w:p>
      <w:pPr>
        <w:spacing w:after="100" w:line="259" w:lineRule="auto"/>
        <w:widowControl/>
      </w:pPr>
      <w:r>
        <w:rPr>
          <w:rFonts w:ascii="Aptos" w:hAnsi="Aptos"/>
          <w:i w:val="0"/>
          <w:sz w:val="21"/>
        </w:rPr>
        <w:t>M12.2 introduced ReplayFrameSeries/guided 2D teaching examples. A subsequent UX patch standardized interaction and the M12.3 provenance audit concluded that historical radar binding remained unresolved. The project therefore retained a schematic fallback rather than silently using an unverified historical radar profile. This preserved the earlier Stage 2 provenance rule in a player-facing visualization context.</w:t>
      </w:r>
    </w:p>
    <w:p>
      <w:pPr>
        <w:spacing w:after="100" w:line="259" w:lineRule="auto"/>
        <w:widowControl/>
      </w:pPr>
      <w:r>
        <w:rPr>
          <w:rFonts w:ascii="Aptos" w:hAnsi="Aptos"/>
          <w:i w:val="0"/>
          <w:sz w:val="21"/>
        </w:rPr>
        <w:t>M13 spatial ablation later failed an internal gate because current UNKNOWN spatial state was not being preserved correctly in one path. Work paused rather than coercing UNKNOWN to false. Around this point the project direction broadened, and the spatial track became a parallel capability line rather than the sole gating path for product development.</w:t>
      </w:r>
    </w:p>
    <w:p>
      <w:pPr>
        <w:pStyle w:val="Heading2"/>
        <w:keepNext/>
        <w:spacing w:before="140" w:after="100"/>
        <w:widowControl/>
      </w:pPr>
      <w:r>
        <w:rPr>
          <w:rFonts w:ascii="Aptos" w:hAnsi="Aptos"/>
          <w:b/>
          <w:color w:val="1F4E79"/>
          <w:sz w:val="26"/>
        </w:rPr>
        <w:t>32. Stage 4D — local-first product vertical slices</w:t>
      </w:r>
    </w:p>
    <w:p>
      <w:pPr>
        <w:spacing w:after="100" w:line="259" w:lineRule="auto"/>
        <w:widowControl/>
      </w:pPr>
      <w:r>
        <w:rPr>
          <w:rFonts w:ascii="Aptos" w:hAnsi="Aptos"/>
          <w:i w:val="0"/>
          <w:sz w:val="21"/>
        </w:rPr>
        <w:t>Several vertical slices tested whether the evidence architecture could support a real local product rather than only milestone scripts.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Slice</w:t>
            </w:r>
          </w:p>
        </w:tc>
        <w:tc>
          <w:tcPr>
            <w:tcW w:type="dxa" w:w="439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Recorded result</w:t>
            </w:r>
          </w:p>
        </w:tc>
        <w:tc>
          <w:tcPr>
            <w:tcW w:type="dxa" w:w="42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What it changed</w:t>
            </w:r>
          </w:p>
        </w:tc>
      </w:tr>
      <w:tr>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R1 vertical slice</w:t>
            </w:r>
          </w:p>
        </w:tc>
        <w:tc>
          <w:tcPr>
            <w:tcW w:type="dxa" w:w="43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79 demos (~21.4 GB), all parsed in ~72 s; 1,227 visual death examples; 3 rich replay windows; no verified radar.</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Showed an end-to-end local report path; also found grenade parsing expensive enough to motivate per-demo utility caching.</w:t>
            </w:r>
          </w:p>
        </w:tc>
      </w:tr>
      <w:tr>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Scale/cache slice</w:t>
            </w:r>
          </w:p>
        </w:tc>
        <w:tc>
          <w:tcPr>
            <w:tcW w:type="dxa" w:w="43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251 demos (~98.7 GiB); all success; cold 124.36 s; warm 0.776 s with 251 cache hits and zero parser calls; policy-only 0.481 s.</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Demonstrated decode-once/reuse and decoupling analysis policy from raw decode on the tested machine.</w:t>
            </w:r>
          </w:p>
        </w:tc>
      </w:tr>
      <w:tr>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AnalysisPack slice</w:t>
            </w:r>
          </w:p>
        </w:tc>
        <w:tc>
          <w:tcPr>
            <w:tcW w:type="dxa" w:w="43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21 demos reused one shared richer evidence core for Player Study, Player Comparison and Team Strategy.</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Exposed mode-specific semantic problems rather than only infrastructure problems.</w:t>
            </w:r>
          </w:p>
        </w:tc>
      </w:tr>
      <w:tr>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Comparison diagnostic</w:t>
            </w:r>
          </w:p>
        </w:tc>
        <w:tc>
          <w:tcPr>
            <w:tcW w:type="dxa" w:w="43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CanadianIQ vs mezii initially appeared to have zero exact map+side+equipment contexts.</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Later E0 showed high shared-context coverage, indicating the zero result was selection/implementation diagnostic rather than proof of inherent incompatibility.</w:t>
            </w:r>
          </w:p>
        </w:tc>
      </w:tr>
      <w:tr>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Strategy heuristic</w:t>
            </w:r>
          </w:p>
        </w:tc>
        <w:tc>
          <w:tcPr>
            <w:tcW w:type="dxa" w:w="43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MOUZ Mirage family count changed 50/71/92 across thresholds.</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Falsified treating one threshold/cluster count as “the repertoire.”</w:t>
            </w:r>
          </w:p>
        </w:tc>
      </w:tr>
      <w:tr>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FaZe Cache reference</w:t>
            </w:r>
          </w:p>
        </w:tc>
        <w:tc>
          <w:tcPr>
            <w:tcW w:type="dxa" w:w="43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~65 T rounds across five matches reconstructed into a hierarchical analyst stratbook.</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Provided representation/feasibility evidence for opening families + transition/finish/post-plant modules, not ground truth for automated discovery.</w:t>
            </w:r>
          </w:p>
        </w:tc>
      </w:tr>
    </w:tbl>
    <w:p>
      <w:pPr>
        <w:spacing w:after="20"/>
        <w:widowControl/>
      </w:pPr>
    </w:p>
    <w:p>
      <w:pPr>
        <w:pStyle w:val="Heading2"/>
        <w:keepNext/>
        <w:spacing w:before="140" w:after="100"/>
        <w:widowControl/>
      </w:pPr>
      <w:r>
        <w:rPr>
          <w:rFonts w:ascii="Aptos" w:hAnsi="Aptos"/>
          <w:b/>
          <w:color w:val="1F4E79"/>
          <w:sz w:val="26"/>
        </w:rPr>
        <w:t>33. Stage 4E — v3.0 broadening, consultant bias-control and v3.1 baseline</w:t>
      </w:r>
    </w:p>
    <w:p>
      <w:pPr>
        <w:spacing w:after="100" w:line="259" w:lineRule="auto"/>
        <w:widowControl/>
      </w:pPr>
      <w:r>
        <w:rPr>
          <w:rFonts w:ascii="Aptos" w:hAnsi="Aptos"/>
          <w:i w:val="0"/>
          <w:sz w:val="21"/>
        </w:rPr>
        <w:t>The v3 design work generalized the project from coaching-only architecture into a multi-mode platform. It introduced AnalysisRequest/Applicability, CapabilityManifest, thin AnalysisPacks, mode-specific qualification/claim/presentation contracts, report-first UX, shared neutral evidence, and stronger separation between strategy representation and strategy discovery.</w:t>
      </w:r>
    </w:p>
    <w:p>
      <w:pPr>
        <w:spacing w:after="100" w:line="259" w:lineRule="auto"/>
        <w:widowControl/>
      </w:pPr>
      <w:r>
        <w:rPr>
          <w:rFonts w:ascii="Aptos" w:hAnsi="Aptos"/>
          <w:i w:val="0"/>
          <w:sz w:val="21"/>
        </w:rPr>
        <w:t>A consultant cycle was commissioned against v3.0, but the later re-read found common-mode anchoring: reviewers received substantially the same architecture and a prompt that named suspected weaknesses and summarized earlier views. V3.1 therefore downgraded consultant convergence from authority to advisory evidence and re-evaluated recommendations against primary artifacts, inherited guardrails and implementation semantics.</w:t>
      </w:r>
    </w:p>
    <w:tbl>
      <w:tblPr>
        <w:tblW w:type="auto" w:w="0"/>
        <w:jc w:val="center"/>
        <w:tblLayout w:type="autofit"/>
        <w:tblLook w:firstColumn="1" w:firstRow="1" w:lastColumn="0" w:lastRow="0" w:noHBand="0" w:noVBand="1" w:val="04A0"/>
      </w:tblPr>
      <w:tblGrid>
        <w:gridCol w:w="10080"/>
      </w:tblGrid>
      <w:tr>
        <w:tc>
          <w:tcPr>
            <w:tcW w:type="dxa" w:w="10080"/>
            <w:shd w:fill="E2F0D9"/>
            <w:tcMar>
              <w:top w:w="110" w:type="dxa"/>
              <w:start w:w="120" w:type="dxa"/>
              <w:bottom w:w="110" w:type="dxa"/>
              <w:end w:w="120" w:type="dxa"/>
            </w:tcMar>
            <w:tcBorders>
              <w:top w:val="nil"/>
              <w:left w:val="single" w:sz="18" w:color="70AD47"/>
              <w:bottom w:val="nil"/>
              <w:right w:val="nil"/>
            </w:tcBorders>
          </w:tcPr>
          <w:p>
            <w:r>
              <w:rPr>
                <w:rFonts w:ascii="Aptos" w:hAnsi="Aptos"/>
                <w:b/>
                <w:color w:val="1F4E79"/>
                <w:sz w:val="20"/>
              </w:rPr>
              <w:t>Current baseline status</w:t>
            </w:r>
          </w:p>
          <w:p>
            <w:pPr>
              <w:spacing w:after="0"/>
            </w:pPr>
            <w:r>
              <w:rPr>
                <w:rFonts w:ascii="Aptos" w:hAnsi="Aptos"/>
                <w:color w:val="263746"/>
                <w:sz w:val="19"/>
              </w:rPr>
              <w:t>v3.1 is the last explicitly adopted active pre-implementation architecture baseline in the available record. The current v4.0 document states that it supersedes no prior baseline until owner review and explicit freeze.</w:t>
            </w:r>
          </w:p>
        </w:tc>
      </w:tr>
    </w:tbl>
    <w:p>
      <w:pPr>
        <w:spacing w:after="20"/>
        <w:widowControl/>
      </w:pPr>
    </w:p>
    <w:p>
      <w:pPr>
        <w:pStyle w:val="Heading2"/>
        <w:keepNext/>
        <w:spacing w:before="140" w:after="100"/>
        <w:widowControl/>
      </w:pPr>
      <w:r>
        <w:rPr>
          <w:rFonts w:ascii="Aptos" w:hAnsi="Aptos"/>
          <w:b/>
          <w:color w:val="1F4E79"/>
          <w:sz w:val="26"/>
        </w:rPr>
        <w:t>34. What v3.1 changed conceptually</w:t>
      </w:r>
    </w:p>
    <w:p>
      <w:pPr>
        <w:pStyle w:val="ListBullet"/>
        <w:spacing w:after="50" w:line="252" w:lineRule="auto"/>
        <w:widowControl/>
      </w:pPr>
      <w:r>
        <w:rPr>
          <w:rFonts w:ascii="Aptos" w:hAnsi="Aptos"/>
          <w:sz w:val="20"/>
        </w:rPr>
        <w:t>The product became explicitly a local-first Demo Intelligence Platform with multiple independently validated analysis modes.</w:t>
      </w:r>
    </w:p>
    <w:p>
      <w:pPr>
        <w:pStyle w:val="ListBullet"/>
        <w:spacing w:after="50" w:line="252" w:lineRule="auto"/>
        <w:widowControl/>
      </w:pPr>
      <w:r>
        <w:rPr>
          <w:rFonts w:ascii="Aptos" w:hAnsi="Aptos"/>
          <w:sz w:val="20"/>
        </w:rPr>
        <w:t>The user question/analysis mode moved before expensive derived work.</w:t>
      </w:r>
    </w:p>
    <w:p>
      <w:pPr>
        <w:pStyle w:val="ListBullet"/>
        <w:spacing w:after="50" w:line="252" w:lineRule="auto"/>
        <w:widowControl/>
      </w:pPr>
      <w:r>
        <w:rPr>
          <w:rFonts w:ascii="Aptos" w:hAnsi="Aptos"/>
          <w:sz w:val="20"/>
        </w:rPr>
        <w:t>Shared evidence was constrained to observed facts/sensors; tactical phase, strategy family and responsibility interpretations moved downstream.</w:t>
      </w:r>
    </w:p>
    <w:p>
      <w:pPr>
        <w:pStyle w:val="ListBullet"/>
        <w:spacing w:after="50" w:line="252" w:lineRule="auto"/>
        <w:widowControl/>
      </w:pPr>
      <w:r>
        <w:rPr>
          <w:rFonts w:ascii="Aptos" w:hAnsi="Aptos"/>
          <w:sz w:val="20"/>
        </w:rPr>
        <w:t>AnalysisPack became a thin manifest referencing EvidencePlan, QualificationPolicy, ClaimPolicy/ClaimRegistry, CurriculumPack, PresentationSpec and ValidationProfile rather than a large “god object.”</w:t>
      </w:r>
    </w:p>
    <w:p>
      <w:pPr>
        <w:pStyle w:val="ListBullet"/>
        <w:spacing w:after="50" w:line="252" w:lineRule="auto"/>
        <w:widowControl/>
      </w:pPr>
      <w:r>
        <w:rPr>
          <w:rFonts w:ascii="Aptos" w:hAnsi="Aptos"/>
          <w:sz w:val="20"/>
        </w:rPr>
        <w:t>ClaimRegistry established a deterministic ceiling: AI could downgrade a claim but not upgrade it.</w:t>
      </w:r>
    </w:p>
    <w:p>
      <w:pPr>
        <w:pStyle w:val="ListBullet"/>
        <w:spacing w:after="50" w:line="252" w:lineRule="auto"/>
        <w:widowControl/>
      </w:pPr>
      <w:r>
        <w:rPr>
          <w:rFonts w:ascii="Aptos" w:hAnsi="Aptos"/>
          <w:sz w:val="20"/>
        </w:rPr>
        <w:t>Comparison matching became metric-specific and support-driven rather than a scalar compatibility score.</w:t>
      </w:r>
    </w:p>
    <w:p>
      <w:pPr>
        <w:pStyle w:val="ListBullet"/>
        <w:spacing w:after="50" w:line="252" w:lineRule="auto"/>
        <w:widowControl/>
      </w:pPr>
      <w:r>
        <w:rPr>
          <w:rFonts w:ascii="Aptos" w:hAnsi="Aptos"/>
          <w:sz w:val="20"/>
        </w:rPr>
        <w:t>Strategy hierarchy was retained as a representation, while automated strategy discovery stayed unfrozen pending baselines/nulls/held-out validation.</w:t>
      </w:r>
    </w:p>
    <w:p>
      <w:pPr>
        <w:pStyle w:val="ListBullet"/>
        <w:spacing w:after="50" w:line="252" w:lineRule="auto"/>
        <w:widowControl/>
      </w:pPr>
      <w:r>
        <w:rPr>
          <w:rFonts w:ascii="Aptos" w:hAnsi="Aptos"/>
          <w:sz w:val="20"/>
        </w:rPr>
        <w:t>Real-map visuals remained desirable but capability/provenance-gated, with schematic fallback.</w:t>
      </w:r>
    </w:p>
    <w:p>
      <w:pPr>
        <w:pStyle w:val="ListBullet"/>
        <w:spacing w:after="50" w:line="252" w:lineRule="auto"/>
        <w:widowControl/>
      </w:pPr>
      <w:r>
        <w:rPr>
          <w:rFonts w:ascii="Aptos" w:hAnsi="Aptos"/>
          <w:sz w:val="20"/>
        </w:rPr>
        <w:t>Cache invalidation became a per-product artifact dependency graph rather than a monolithic cache.</w:t>
      </w:r>
    </w:p>
    <w:p>
      <w:pPr>
        <w:spacing w:after="100"/>
        <w:widowControl/>
      </w:pPr>
      <w:r>
        <w:rPr>
          <w:rFonts w:ascii="Aptos" w:hAnsi="Aptos"/>
          <w:i/>
          <w:color w:val="6B7785"/>
          <w:sz w:val="17"/>
        </w:rPr>
        <w:t>Source basis: v3.1 Executive decision, Parts II–VII, ADR-034 through ADR-055.</w:t>
      </w:r>
    </w:p>
    <w:p>
      <w:pPr>
        <w:pStyle w:val="Heading2"/>
        <w:keepNext/>
        <w:spacing w:before="140" w:after="100"/>
        <w:widowControl/>
      </w:pPr>
      <w:r>
        <w:rPr>
          <w:rFonts w:ascii="Aptos" w:hAnsi="Aptos"/>
          <w:b/>
          <w:color w:val="1F4E79"/>
          <w:sz w:val="26"/>
        </w:rPr>
        <w:t>35. Stage 4E implementation: V3-A through V3-D4.1</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Stage</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Status</w:t>
            </w:r>
          </w:p>
        </w:tc>
        <w:tc>
          <w:tcPr>
            <w:tcW w:type="dxa" w:w="662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Recorded outcome</w:t>
            </w:r>
          </w:p>
        </w:tc>
      </w:tr>
      <w:tr>
        <w:tc>
          <w:tcPr>
            <w:tcW w:type="dxa" w:w="20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V3-A Contract Freeze</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PASS</w:t>
            </w:r>
          </w:p>
        </w:tc>
        <w:tc>
          <w:tcPr>
            <w:tcW w:type="dxa" w:w="66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15 contracts / 21 golden cases; froze AnalysisRequest, PreflightApplicability, ClaimSupport, CapabilityManifest_v2, ClaimRegistry, RoundAnchorSeries, ArtifactManifest and VisualizationRecipe semantics; left comparison/strategy/map/economy/shell questions open.</w:t>
            </w:r>
          </w:p>
        </w:tc>
      </w:tr>
      <w:tr>
        <w:tc>
          <w:tcPr>
            <w:tcW w:type="dxa" w:w="20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E0 Diagnostic Correctness</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PASS</w:t>
            </w:r>
          </w:p>
        </w:tc>
        <w:tc>
          <w:tcPr>
            <w:tcW w:type="dxa" w:w="66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141 selected demos; comparison overlap funnel showed high shared-map/map+side coverage; raw bomb-site IDs unstable; nominal 64-tick conversion forbidden; economy taxonomy and matcher remained unfrozen.</w:t>
            </w:r>
          </w:p>
        </w:tc>
      </w:tr>
      <w:tr>
        <w:tc>
          <w:tcPr>
            <w:tcW w:type="dxa" w:w="20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V3-B Shared Core</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PASS, then review found debt</w:t>
            </w:r>
          </w:p>
        </w:tc>
        <w:tc>
          <w:tcPr>
            <w:tcW w:type="dxa" w:w="66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250 demos; incremental/warm-cache behavior passed. Later review found anchor semantic drift and heavy raw_event duplication.</w:t>
            </w:r>
          </w:p>
        </w:tc>
      </w:tr>
      <w:tr>
        <w:tc>
          <w:tcPr>
            <w:tcW w:type="dxa" w:w="20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V3-B2 Repair</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PASS</w:t>
            </w:r>
          </w:p>
        </w:tc>
        <w:tc>
          <w:tcPr>
            <w:tcW w:type="dxa" w:w="66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Repaired FIRST_DAMAGE/FIRST_DEATH semantics; 0 mismatches across 5,537 checked rounds; storage 740.4 MB → 24.8 MB (~96.65% reduction); zero demo reparsing.</w:t>
            </w:r>
          </w:p>
        </w:tc>
      </w:tr>
      <w:tr>
        <w:tc>
          <w:tcPr>
            <w:tcW w:type="dxa" w:w="20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V3-C1 Report Shell</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PASS</w:t>
            </w:r>
          </w:p>
        </w:tc>
        <w:tc>
          <w:tcPr>
            <w:tcW w:type="dxa" w:w="66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Report-first HTML + schematic 2D viewer; no invented routes/seconds/site labels/economy phases. Human video review found raw round numbering, event noise, label collision and capability jargon.</w:t>
            </w:r>
          </w:p>
        </w:tc>
      </w:tr>
      <w:tr>
        <w:tc>
          <w:tcPr>
            <w:tcW w:type="dxa" w:w="20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V3-D1 Player Study</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PASS</w:t>
            </w:r>
          </w:p>
        </w:tc>
        <w:tc>
          <w:tcPr>
            <w:tcW w:type="dxa" w:w="66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78 demos / 1,617 rounds / 7 maps for focal player; deterministic descriptive opening/first-damage metrics; six selected situation examples; no coaching priority.</w:t>
            </w:r>
          </w:p>
        </w:tc>
      </w:tr>
      <w:tr>
        <w:tc>
          <w:tcPr>
            <w:tcW w:type="dxa" w:w="20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V3-D2 Dual Pack / AI Boundary</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PASS</w:t>
            </w:r>
          </w:p>
        </w:tc>
        <w:tc>
          <w:tcPr>
            <w:tcW w:type="dxa" w:w="66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Adapted Player Study + Personal Coaching into common thin AnalysisPack boundary; ClaimRegistry + numeric/evidence validators; no model call.</w:t>
            </w:r>
          </w:p>
        </w:tc>
      </w:tr>
      <w:tr>
        <w:tc>
          <w:tcPr>
            <w:tcW w:type="dxa" w:w="20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V3-D3M Multi-chat reliability</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PASS</w:t>
            </w:r>
          </w:p>
        </w:tc>
        <w:tc>
          <w:tcPr>
            <w:tcW w:type="dxa" w:w="66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5/5 independent fresh-chat outputs valid; one claim signature; unchanged deterministic numeric payloads; wording similarity descriptive only.</w:t>
            </w:r>
          </w:p>
        </w:tc>
      </w:tr>
      <w:tr>
        <w:tc>
          <w:tcPr>
            <w:tcW w:type="dxa" w:w="20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V3-D4 Integration</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Technical integration pass; human review pending</w:t>
            </w:r>
          </w:p>
        </w:tc>
        <w:tc>
          <w:tcPr>
            <w:tcW w:type="dxa" w:w="66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Validator-approved prose inserted into Player Study; human review intentionally separated structural safety from usefulness.</w:t>
            </w:r>
          </w:p>
        </w:tc>
      </w:tr>
      <w:tr>
        <w:tc>
          <w:tcPr>
            <w:tcW w:type="dxa" w:w="20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V3-D4.1 UX repair</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Technical repair pass; human review positive on clarity</w:t>
            </w:r>
          </w:p>
        </w:tc>
        <w:tc>
          <w:tcPr>
            <w:tcW w:type="dxa" w:w="66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Removed confidence interval from primary player surface; made nested denominators explicit; added “How calculated” disclosures. Owner review then raised actionability/viewer/presentation-module concerns.</w:t>
            </w:r>
          </w:p>
        </w:tc>
      </w:tr>
    </w:tbl>
    <w:p>
      <w:pPr>
        <w:spacing w:after="20"/>
        <w:widowControl/>
      </w:pPr>
    </w:p>
    <w:p>
      <w:pPr>
        <w:pStyle w:val="Heading2"/>
        <w:keepNext/>
        <w:spacing w:before="140" w:after="100"/>
        <w:widowControl/>
      </w:pPr>
      <w:r>
        <w:rPr>
          <w:rFonts w:ascii="Aptos" w:hAnsi="Aptos"/>
          <w:b/>
          <w:color w:val="1F4E79"/>
          <w:sz w:val="26"/>
        </w:rPr>
        <w:t>36. Human product review exposed a new class of requirements</w:t>
      </w:r>
    </w:p>
    <w:p>
      <w:pPr>
        <w:spacing w:after="100" w:line="259" w:lineRule="auto"/>
        <w:widowControl/>
      </w:pPr>
      <w:r>
        <w:rPr>
          <w:rFonts w:ascii="Aptos" w:hAnsi="Aptos"/>
          <w:i w:val="0"/>
          <w:sz w:val="21"/>
        </w:rPr>
        <w:t>The Player Study UX reviews were not parser/statistical failures. They showed that technical correctness and structural AI reliability still did not guarantee useful player communication. The reviewer initially found the 95% confidence interval too advanced for the primary surface, nested denominators ambiguous, and bounded prose somewhat robotic. After D4.1 clarified the metrics, the reviewer judged the denominator/opening/first-damage breakdown understandable but questioned what first-damage involvement actually taught a player without richer context.</w:t>
      </w:r>
    </w:p>
    <w:p>
      <w:pPr>
        <w:spacing w:after="100" w:line="259" w:lineRule="auto"/>
        <w:widowControl/>
      </w:pPr>
      <w:r>
        <w:rPr>
          <w:rFonts w:ascii="Aptos" w:hAnsi="Aptos"/>
          <w:i w:val="0"/>
          <w:sz w:val="21"/>
        </w:rPr>
        <w:t>The same review identified viewer/product issues: raw “ticks” were not useful user reference points; the reason each example appeared was unclear; “freeze end” looked like an engineering anchor rather than a teaching control; button layout varied; map/side context controls were desirable; and the AI should compose from documented product components rather than hard-code or invent UI behavior.</w:t>
      </w:r>
    </w:p>
    <w:p>
      <w:pPr>
        <w:spacing w:after="100" w:line="259" w:lineRule="auto"/>
        <w:widowControl/>
      </w:pPr>
      <w:r>
        <w:rPr>
          <w:rFonts w:ascii="Aptos" w:hAnsi="Aptos"/>
          <w:i w:val="0"/>
          <w:sz w:val="21"/>
        </w:rPr>
        <w:t>Another important correction arose from the discussion itself: 255 first-damage involvements minus 237 opening involvements cannot be assumed to mean 18 first-damage-only rounds because the sets overlap without a known subset relationship. The D4.2 experiment was designed to compute the actual round-level overlap from the shared core rather than infer it from aggregate subtraction. As of this record, that D4.2 result has not yet been returned and should not be assumed.</w:t>
      </w:r>
    </w:p>
    <w:p>
      <w:pPr>
        <w:pStyle w:val="Heading2"/>
        <w:keepNext/>
        <w:spacing w:before="140" w:after="100"/>
        <w:widowControl/>
      </w:pPr>
      <w:r>
        <w:rPr>
          <w:rFonts w:ascii="Aptos" w:hAnsi="Aptos"/>
          <w:b/>
          <w:color w:val="1F4E79"/>
          <w:sz w:val="26"/>
        </w:rPr>
        <w:t>37. Stage 4F/G — reframing around purpose, audience and composition</w:t>
      </w:r>
    </w:p>
    <w:p>
      <w:pPr>
        <w:spacing w:after="100" w:line="259" w:lineRule="auto"/>
        <w:widowControl/>
      </w:pPr>
      <w:r>
        <w:rPr>
          <w:rFonts w:ascii="Aptos" w:hAnsi="Aptos"/>
          <w:i w:val="0"/>
          <w:sz w:val="21"/>
        </w:rPr>
        <w:t>The later Stage 4 discussions reframed the product around who the information is for. Data collection/reconstruction is intended to serve analysis/coaching; Analyst Desk is proposed as the mathematically explicit coach/analyst surface; Player Study is intended to teach selected concepts rather than expose everything measurable. This led to a proposed pipeline in which deterministic analytics and bounded AI interpretation first produce analytical findings, which can then be promoted into teaching only when there is a useful player-facing purpose.</w:t>
      </w:r>
    </w:p>
    <w:p>
      <w:pPr>
        <w:spacing w:after="100" w:line="259" w:lineRule="auto"/>
        <w:widowControl/>
      </w:pPr>
      <w:r>
        <w:rPr>
          <w:rFonts w:ascii="Aptos" w:hAnsi="Aptos"/>
          <w:i w:val="0"/>
          <w:sz w:val="21"/>
        </w:rPr>
        <w:t>The same discussions added a trust/continuity requirement: recurring reports should feel like the same product even when the content changes. The emerging design therefore separates a stable shell and registered module implementations from an AI-generated composition plan. The model may select modules/configurations and arrange legal blocks; the renderer owns controls, layout behavior, styling, calculations, accessibility and PDF fallbacks.</w:t>
      </w:r>
    </w:p>
    <w:p>
      <w:pPr>
        <w:pStyle w:val="Heading2"/>
        <w:keepNext/>
        <w:spacing w:before="140" w:after="100"/>
        <w:widowControl/>
      </w:pPr>
      <w:r>
        <w:rPr>
          <w:rFonts w:ascii="Aptos" w:hAnsi="Aptos"/>
          <w:b/>
          <w:color w:val="1F4E79"/>
          <w:sz w:val="26"/>
        </w:rPr>
        <w:t>38. The current V4 draft</w:t>
      </w:r>
    </w:p>
    <w:p>
      <w:pPr>
        <w:spacing w:after="100" w:line="259" w:lineRule="auto"/>
        <w:widowControl/>
      </w:pPr>
      <w:r>
        <w:rPr>
          <w:rFonts w:ascii="Aptos" w:hAnsi="Aptos"/>
          <w:i w:val="0"/>
          <w:sz w:val="21"/>
        </w:rPr>
        <w:t>The v4.0 Compositional Reports Draft is explicitly marked “research-informed design draft — not frozen.” It adds six candidate architectural objects: AnalystFinding, Analyst Desk, TeachingCandidate, TeachingMoment, ReportCompositionPlan and ReportBundle. It also proposes a fixed Player Study shell with a dynamic Teaching Body, a Presentation Module Registry, a small layout grammar, parent module families such as Viewer2D with registered configurations, pervasive InfoDisclosure, and durable JSON/PDF outputs for longitudinal continuity.</w:t>
      </w:r>
    </w:p>
    <w:p>
      <w:pPr>
        <w:spacing w:after="100" w:line="259" w:lineRule="auto"/>
        <w:widowControl/>
      </w:pPr>
      <w:r>
        <w:rPr>
          <w:rFonts w:ascii="Aptos" w:hAnsi="Aptos"/>
          <w:i w:val="0"/>
          <w:sz w:val="21"/>
        </w:rPr>
        <w:t>The V4 draft does not replace v3.1 until explicitly reviewed/frozen. It also leaves the module inventory broader than the first proposed implementation slice, and records multiple open questions rather than presenting them as decided architecture.</w:t>
      </w:r>
    </w:p>
    <w:p>
      <w:pPr>
        <w:spacing w:after="100"/>
        <w:widowControl/>
      </w:pPr>
      <w:r>
        <w:rPr>
          <w:rFonts w:ascii="Aptos" w:hAnsi="Aptos"/>
          <w:i/>
          <w:color w:val="6B7785"/>
          <w:sz w:val="17"/>
        </w:rPr>
        <w:t>Source basis: v4.0 Parts I–XIV; candidate module registry v0.1; external pattern research matrix v0.1.</w:t>
      </w:r>
    </w:p>
    <w:p>
      <w:pPr>
        <w:widowControl/>
      </w:pPr>
      <w:r>
        <w:br w:type="page"/>
      </w:r>
    </w:p>
    <w:p>
      <w:pPr>
        <w:pStyle w:val="Heading1"/>
        <w:keepNext/>
        <w:spacing w:before="200" w:after="100"/>
        <w:widowControl/>
      </w:pPr>
      <w:r>
        <w:rPr>
          <w:rFonts w:ascii="Aptos" w:hAnsi="Aptos"/>
          <w:b/>
          <w:color w:val="17365D"/>
          <w:sz w:val="32"/>
        </w:rPr>
        <w:t>Part VI — Cross-stage lesson register</w:t>
      </w:r>
    </w:p>
    <w:p>
      <w:pPr>
        <w:pStyle w:val="Heading2"/>
        <w:keepNext/>
        <w:spacing w:before="140" w:after="100"/>
        <w:widowControl/>
      </w:pPr>
      <w:r>
        <w:rPr>
          <w:rFonts w:ascii="Aptos" w:hAnsi="Aptos"/>
          <w:b/>
          <w:color w:val="1F4E79"/>
          <w:sz w:val="26"/>
        </w:rPr>
        <w:t>39. Failure-derived lessons and how they propagated</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Trigger / failed assumption</w:t>
            </w:r>
          </w:p>
        </w:tc>
        <w:tc>
          <w:tcPr>
            <w:tcW w:type="dxa" w:w="158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Where exposed</w:t>
            </w:r>
          </w:p>
        </w:tc>
        <w:tc>
          <w:tcPr>
            <w:tcW w:type="dxa" w:w="511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Current or later response</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Target-centric extraction removed future context</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1</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All-player extraction became default/mandatory; later shared cores are player-agnostic.</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Missing result/event capability was interpreted as negative</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1</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UNKNOWN and source capability became first-class; absence is not zero.</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SteamID passed through unsafe numeric paths</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1 / independent review</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Exact identity serialization/joins became a systems invariant.</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Warmup/knife heuristics misidentified real rounds</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1</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Round reconstruction became structural/source-aware.</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More telemetry produced less usable coaching</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1</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Multi-resolution evidence; broad bounded corpus products + deep selected evidence.</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Professional players were tempting as numeric targets</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1</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Reference players became context, not universal standards or rankings.</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Current map assets can look correct for historical demos</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2</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Historical asset provenance/version binding became required for exact spatial claims.</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NAV/collision/smoke/place names were conflated</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2</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Separate sensor channels; spatial evidence no longer automatically means vision/intent.</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Parser/library API assumptions were wrong</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3</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Source-level dependency review, profiling and explicit API contracts before architecture commitments.</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Performance guesses hid dominant costs</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3</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Profiling and measured worker/query plans; performance became an acceptance dimension.</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Integrity-safe packets still produced poor coaching</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3</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Packets became evidence, not tendencies; player synthesis/learning separated from evidence handoff.</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Two demos were asked to support a tendency</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3</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Independent-match recurrence, opportunity denominators and counterexamples moved into deterministic Plane C.</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LLM could be tempted to count/redefine recurrence</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3/4</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Deterministic statistics + ClaimRegistry/claim ceiling; AI receives qualified summaries.</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Uncalibrated thresholds looked authoritative</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3/4</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Thresholds/policies require calibration; arbitrary constants remained proposals.</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Peer unusualness was treated as universal promotion logic</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Player-internal recurrence/lifecycle policy added; peer context retained but not universal gate.</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Mechanism evidence was insufficient for a plausible priority</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No-priority became valid; bounded deep-evidence requests follow qualification.</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Distance/spatial context invited tactical overclaim</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Distance remains context; no spacing rule/LOS awareness claim without independent support.</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Viewer availability could be mistaken for evidence</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Replay/viewer defined as deterministic presentation; observed/inferred/unknown states visually distinct.</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Historical radar could not be verified</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Schematic fallback retained rather than silent substitution.</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Comparison exact-match slice returned zero</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Later E0 overlap funnel showed diagnostic/selection issue; matcher remained unfrozen rather than concluding comparison impossible.</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Strategy cluster count changed with threshold</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Hierarchical representation retained; automated family discovery left Research/Beta.</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Shared core stored duplicated raw events</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V3-B2 removed duplication and cut store size ~96.65% without reparsing.</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Anchor implementation drifted from frozen semantics</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Direct semantic verifier added; FIRST_DAMAGE/FIRST_DEATH restored to one per round.</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Technically valid confidence interval confused player surface</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Exact observed sample statistics separated from inferential uncertainty; advanced intervals moved to analyst/research context pending match-aware method.</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Nested denominators were not obvious</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Player-facing metric modules state denominator explicitly and use expandable calculation disclosures.</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 measurable statistic was not automatically actionable</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V4 proposes AnalystFinding → TeachingCandidate promotion; not every metric becomes Player Study content.</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Examples lacked visible selection rationale</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Situation evidence modules proposed to expose why an example was selected.</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Raw ticks were technically exact but poor human language</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3/4</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Semantic anchors/human time preferred; seconds only when timing capability is validated.</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Viewer controls varied by generated context</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Registered parent modules/configurations proposed; renderer owns controls/order/behavior.</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Generative reports risk looking random across weeks</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Fixed shell + versioned module registry + composition plan + ReportBundle/longitudinal continuity proposed.</w:t>
            </w:r>
          </w:p>
        </w:tc>
      </w:tr>
      <w:tr>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Consultant agreement could be over-read as validation</w:t>
            </w:r>
          </w:p>
        </w:tc>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V3.1</w:t>
            </w:r>
          </w:p>
        </w:tc>
        <w:tc>
          <w:tcPr>
            <w:tcW w:type="dxa" w:w="51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Bias-control reconsideration; advisory status unless recommendation stands on primary evidence/logic.</w:t>
            </w:r>
          </w:p>
        </w:tc>
      </w:tr>
      <w:tr>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Historical AI prose could recursively become “truth”</w:t>
            </w:r>
          </w:p>
        </w:tc>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V4 draft</w:t>
            </w:r>
          </w:p>
        </w:tc>
        <w:tc>
          <w:tcPr>
            <w:tcW w:type="dxa" w:w="51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ReportBundle proposal separates deterministic historical state, prior qualified findings/plans and prior AI interpretation.</w:t>
            </w:r>
          </w:p>
        </w:tc>
      </w:tr>
    </w:tbl>
    <w:p>
      <w:pPr>
        <w:spacing w:after="20"/>
        <w:widowControl/>
      </w:pPr>
    </w:p>
    <w:p>
      <w:pPr>
        <w:pStyle w:val="Heading2"/>
        <w:keepNext/>
        <w:spacing w:before="140" w:after="100"/>
        <w:widowControl/>
      </w:pPr>
      <w:r>
        <w:rPr>
          <w:rFonts w:ascii="Aptos" w:hAnsi="Aptos"/>
          <w:b/>
          <w:color w:val="1F4E79"/>
          <w:sz w:val="26"/>
        </w:rPr>
        <w:t>40. Architecture validation and product validation emerged as different activities</w:t>
      </w:r>
    </w:p>
    <w:p>
      <w:pPr>
        <w:spacing w:after="100" w:line="259" w:lineRule="auto"/>
        <w:widowControl/>
      </w:pPr>
      <w:r>
        <w:rPr>
          <w:rFonts w:ascii="Aptos" w:hAnsi="Aptos"/>
          <w:i w:val="0"/>
          <w:sz w:val="21"/>
        </w:rPr>
        <w:t>One of the clearest late-stage lessons is that a system can pass architecture/evidence gates and still fail as a human product. M8 demonstrated packet integrity but not coaching usefulness. D3M demonstrated bounded-AI structural reliability but not readability. D4/D4.1 showed that correct numbers and valid prose could still be poorly scoped or poorly explained. The record therefore separates at least four questions: is the data correct; is the finding qualified; is the interpretation bounded; and is the presentation useful to its intended audience?</w:t>
      </w:r>
    </w:p>
    <w:p>
      <w:pPr>
        <w:pStyle w:val="Heading2"/>
        <w:keepNext/>
        <w:spacing w:before="140" w:after="100"/>
        <w:widowControl/>
      </w:pPr>
      <w:r>
        <w:rPr>
          <w:rFonts w:ascii="Aptos" w:hAnsi="Aptos"/>
          <w:b/>
          <w:color w:val="1F4E79"/>
          <w:sz w:val="26"/>
        </w:rPr>
        <w:t>41. Purpose became a selection rule, not just a copywriting concern</w:t>
      </w:r>
    </w:p>
    <w:p>
      <w:pPr>
        <w:spacing w:after="100" w:line="259" w:lineRule="auto"/>
        <w:widowControl/>
      </w:pPr>
      <w:r>
        <w:rPr>
          <w:rFonts w:ascii="Aptos" w:hAnsi="Aptos"/>
          <w:i w:val="0"/>
          <w:sz w:val="21"/>
        </w:rPr>
        <w:t>The V4 direction adds a product-semantics question that earlier architectures treated less explicitly: why is this item being shown? Under that framing, a metric may belong in Analyst Desk because it helps investigate a relationship but not in Player Study because it does not support understanding or action. A viewer may be valid evidence presentation but still be unnecessary for a particular Teaching Moment. This is the conceptual basis of the proposed AnalystFinding → TeachingCandidate → TeachingMoment path.</w:t>
      </w:r>
    </w:p>
    <w:p>
      <w:pPr>
        <w:widowControl/>
      </w:pPr>
      <w:r>
        <w:br w:type="page"/>
      </w:r>
    </w:p>
    <w:p>
      <w:pPr>
        <w:pStyle w:val="Heading1"/>
        <w:keepNext/>
        <w:spacing w:before="200" w:after="100"/>
        <w:widowControl/>
      </w:pPr>
      <w:r>
        <w:rPr>
          <w:rFonts w:ascii="Aptos" w:hAnsi="Aptos"/>
          <w:b/>
          <w:color w:val="17365D"/>
          <w:sz w:val="32"/>
        </w:rPr>
        <w:t>Part VII — Current product and architecture snapshot (28 September 2026)</w:t>
      </w:r>
    </w:p>
    <w:p>
      <w:pPr>
        <w:pStyle w:val="Heading2"/>
        <w:keepNext/>
        <w:spacing w:before="140" w:after="100"/>
        <w:widowControl/>
      </w:pPr>
      <w:r>
        <w:rPr>
          <w:rFonts w:ascii="Aptos" w:hAnsi="Aptos"/>
          <w:b/>
          <w:color w:val="1F4E79"/>
          <w:sz w:val="26"/>
        </w:rPr>
        <w:t>42. What is currently established versus proposed</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Area</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Status</w:t>
            </w:r>
          </w:p>
        </w:tc>
        <w:tc>
          <w:tcPr>
            <w:tcW w:type="dxa" w:w="619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Current record</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Raw demo / source handling</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Established direction</w:t>
            </w:r>
          </w:p>
        </w:tc>
        <w:tc>
          <w:tcPr>
            <w:tcW w:type="dxa" w:w="61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Local-first; raw demos referenced/recoverable; hashes/provenance; no default raw-demo cloud upload.</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Shared deterministic core</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Demonstrated</w:t>
            </w:r>
          </w:p>
        </w:tc>
        <w:tc>
          <w:tcPr>
            <w:tcW w:type="dxa" w:w="61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v0.2 repaired shared core across 250 demos; warm reuse and dependency-aware transform behavior demonstrated.</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AnalysisPack boundary</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Frozen boundary</w:t>
            </w:r>
          </w:p>
        </w:tc>
        <w:tc>
          <w:tcPr>
            <w:tcW w:type="dxa" w:w="61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D2 froze thin manifest/subcontract boundary after Player Study + Personal Coaching lineage; individual future fields remain evolvable.</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ClaimRegistry / AI boundary</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Demonstrated/frozen concept</w:t>
            </w:r>
          </w:p>
        </w:tc>
        <w:tc>
          <w:tcPr>
            <w:tcW w:type="dxa" w:w="61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Evidence/claim ceilings, numeric fidelity, evidence references, no model-side recurrence redefinition.</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Personal Coaching</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Internal/Beta lineage</w:t>
            </w:r>
          </w:p>
        </w:tc>
        <w:tc>
          <w:tcPr>
            <w:tcW w:type="dxa" w:w="61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One bounded priority learning loop demonstrated for focal player; teaching/generalization gates remain.</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Player Study</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Research vertical slice</w:t>
            </w:r>
          </w:p>
        </w:tc>
        <w:tc>
          <w:tcPr>
            <w:tcW w:type="dxa" w:w="61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Deterministic pack + bounded-AI interpretation + human UX experiments; presentation contract not yet frozen.</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Analyst Desk</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V4 proposal</w:t>
            </w:r>
          </w:p>
        </w:tc>
        <w:tc>
          <w:tcPr>
            <w:tcW w:type="dxa" w:w="61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Defined conceptually as canonical coach/analyst-facing artifact; mature implementation not yet present.</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V4 composition architecture</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Draft</w:t>
            </w:r>
          </w:p>
        </w:tc>
        <w:tc>
          <w:tcPr>
            <w:tcW w:type="dxa" w:w="61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AnalystFinding, TeachingCandidate, TeachingMoment, CompositionPlan, module registry and ReportBundle proposed; not authoritative yet.</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Real-map/radar</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Open capability</w:t>
            </w:r>
          </w:p>
        </w:tc>
        <w:tc>
          <w:tcPr>
            <w:tcW w:type="dxa" w:w="61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Desired; historical/current binding, transforms, distribution/rights unresolved. Schematic fallback remains.</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Human time</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Open capability</w:t>
            </w:r>
          </w:p>
        </w:tc>
        <w:tc>
          <w:tcPr>
            <w:tcW w:type="dxa" w:w="61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Earlier design requires validation across source families; current prototypes avoid inventing seconds where semantics are unvalidated.</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Comparison</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Research/unfrozen</w:t>
            </w:r>
          </w:p>
        </w:tc>
        <w:tc>
          <w:tcPr>
            <w:tcW w:type="dxa" w:w="61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Overlap diagnosis improved; metric-specific matcher/estimands remain to be validated.</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Strategy</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Research/Beta</w:t>
            </w:r>
          </w:p>
        </w:tc>
        <w:tc>
          <w:tcPr>
            <w:tcW w:type="dxa" w:w="61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Hierarchical representation plausible; automated discovery/qualification remains unresolved.</w:t>
            </w:r>
          </w:p>
        </w:tc>
      </w:tr>
      <w:tr>
        <w:tc>
          <w:tcPr>
            <w:tcW w:type="dxa" w:w="22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Training resource registry</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Deferred</w:t>
            </w:r>
          </w:p>
        </w:tc>
        <w:tc>
          <w:tcPr>
            <w:tcW w:type="dxa" w:w="61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Explicitly paused in current V4 discussion.</w:t>
            </w:r>
          </w:p>
        </w:tc>
      </w:tr>
      <w:tr>
        <w:tc>
          <w:tcPr>
            <w:tcW w:type="dxa" w:w="22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Cope Barn</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Concept</w:t>
            </w:r>
          </w:p>
        </w:tc>
        <w:tc>
          <w:tcPr>
            <w:tcW w:type="dxa" w:w="61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Proposed entertainment branch with no authority to write serious analytical/coaching state.</w:t>
            </w:r>
          </w:p>
        </w:tc>
      </w:tr>
    </w:tbl>
    <w:p>
      <w:pPr>
        <w:spacing w:after="20"/>
        <w:widowControl/>
      </w:pPr>
    </w:p>
    <w:p>
      <w:pPr>
        <w:pStyle w:val="Heading2"/>
        <w:keepNext/>
        <w:spacing w:before="140" w:after="100"/>
        <w:widowControl/>
      </w:pPr>
      <w:r>
        <w:rPr>
          <w:rFonts w:ascii="Aptos" w:hAnsi="Aptos"/>
          <w:b/>
          <w:color w:val="1F4E79"/>
          <w:sz w:val="26"/>
        </w:rPr>
        <w:t>43. Current intended pipeline</w:t>
      </w:r>
    </w:p>
    <w:tbl>
      <w:tblPr>
        <w:tblW w:type="auto" w:w="0"/>
        <w:jc w:val="center"/>
        <w:tblLayout w:type="autofit"/>
        <w:tblLook w:firstColumn="1" w:firstRow="1" w:lastColumn="0" w:lastRow="0" w:noHBand="0" w:noVBand="1" w:val="04A0"/>
      </w:tblPr>
      <w:tblGrid>
        <w:gridCol w:w="10080"/>
      </w:tblGrid>
      <w:tr>
        <w:tc>
          <w:tcPr>
            <w:tcW w:type="dxa" w:w="10080"/>
            <w:shd w:fill="EAF2F8"/>
            <w:tcMar>
              <w:top w:w="110" w:type="dxa"/>
              <w:start w:w="120" w:type="dxa"/>
              <w:bottom w:w="110" w:type="dxa"/>
              <w:end w:w="120" w:type="dxa"/>
            </w:tcMar>
            <w:tcBorders>
              <w:top w:val="nil"/>
              <w:left w:val="single" w:sz="18" w:color="5B9BD5"/>
              <w:bottom w:val="nil"/>
              <w:right w:val="nil"/>
            </w:tcBorders>
          </w:tcPr>
          <w:p>
            <w:r>
              <w:rPr>
                <w:rFonts w:ascii="Aptos" w:hAnsi="Aptos"/>
                <w:b/>
                <w:color w:val="1F4E79"/>
                <w:sz w:val="20"/>
              </w:rPr>
              <w:t>Current conceptual sequence</w:t>
            </w:r>
          </w:p>
          <w:p>
            <w:pPr>
              <w:spacing w:after="0"/>
            </w:pPr>
            <w:r>
              <w:rPr>
                <w:rFonts w:ascii="Aptos" w:hAnsi="Aptos"/>
                <w:color w:val="263746"/>
                <w:sz w:val="19"/>
              </w:rPr>
              <w:t>Demo parsing → reconstruction → deterministic analytics → bounded analytical interpretation → AnalystFinding / Analyst Desk → teaching eligibility → TeachingCandidate → AI ReportCompositionPlan → product-owned renderer → Player Study → JSON/PDF ReportBundle → future longitudinal comparison. Cope Barn is proposed as a separate pre-analysis entertainment branch.</w:t>
            </w:r>
          </w:p>
        </w:tc>
      </w:tr>
    </w:tbl>
    <w:p>
      <w:pPr>
        <w:spacing w:after="20"/>
        <w:widowControl/>
      </w:pPr>
    </w:p>
    <w:p>
      <w:pPr>
        <w:spacing w:after="100" w:line="259" w:lineRule="auto"/>
        <w:widowControl/>
      </w:pPr>
      <w:r>
        <w:rPr>
          <w:rFonts w:ascii="Aptos" w:hAnsi="Aptos"/>
          <w:i w:val="0"/>
          <w:sz w:val="21"/>
        </w:rPr>
        <w:t>This sequence is more specific than the earlier Plane A–E model but does not replace its evidence discipline. The V4 draft effectively inserts explicit analytical and product-composition objects between qualified statistics and player presentation.</w:t>
      </w:r>
    </w:p>
    <w:p>
      <w:pPr>
        <w:pStyle w:val="Heading2"/>
        <w:keepNext/>
        <w:spacing w:before="140" w:after="100"/>
        <w:widowControl/>
      </w:pPr>
      <w:r>
        <w:rPr>
          <w:rFonts w:ascii="Aptos" w:hAnsi="Aptos"/>
          <w:b/>
          <w:color w:val="1F4E79"/>
          <w:sz w:val="26"/>
        </w:rPr>
        <w:t>44. Current V4 fixed-shell / dynamic-body concept</w:t>
      </w:r>
    </w:p>
    <w:p>
      <w:pPr>
        <w:spacing w:after="100" w:line="259" w:lineRule="auto"/>
        <w:widowControl/>
      </w:pPr>
      <w:r>
        <w:rPr>
          <w:rFonts w:ascii="Aptos" w:hAnsi="Aptos"/>
          <w:i w:val="0"/>
          <w:sz w:val="21"/>
        </w:rPr>
        <w:t>The current draft proposes a stable Player Study shell so recurring studies remain recognizable while allowing the body to adapt to the actual teaching content. The shell currently includes study coverage, report identity, previous-study review when compatible historical state exists, an agenda/overview, a dynamic Teaching Body, a later/optional training slot, a study summary and downloads/methodology.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Shell element</w:t>
            </w:r>
          </w:p>
        </w:tc>
        <w:tc>
          <w:tcPr>
            <w:tcW w:type="dxa" w:w="763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Current proposed function</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StudyCoverageStrip</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Compact scope/data-receipt trust information such as games analyzed, usable/limited coverage, rounds/maps/date range.</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ReportHeader</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Stable identity, player/study window and version context.</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PreviousStudyReview</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Only when a compatible prior ReportBundle exists; improvement/regression claims require version-compatible deterministic definitions.</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StudyAgenda</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Short preview of concepts the coach intends to cover.</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Dynamic Teaching Body</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Variable number of TeachingMoments; modules support the lesson rather than appearing because data exists.</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Training slot</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Reserved conceptually; resource/practice registry explicitly deferred.</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StudySummary</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Memory aid: what was covered, what appears improved/regressed, watch items and next re-test.</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Downloads / methodology</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Player Study and Analyst Desk JSON/PDF plus version/methodology access.</w:t>
            </w:r>
          </w:p>
        </w:tc>
      </w:tr>
    </w:tbl>
    <w:p>
      <w:pPr>
        <w:spacing w:after="20"/>
        <w:widowControl/>
      </w:pPr>
    </w:p>
    <w:p>
      <w:pPr>
        <w:pStyle w:val="Heading2"/>
        <w:keepNext/>
        <w:spacing w:before="140" w:after="100"/>
        <w:widowControl/>
      </w:pPr>
      <w:r>
        <w:rPr>
          <w:rFonts w:ascii="Aptos" w:hAnsi="Aptos"/>
          <w:b/>
          <w:color w:val="1F4E79"/>
          <w:sz w:val="26"/>
        </w:rPr>
        <w:t>45. TeachingMoment composition: flexible structure inside a stable product language</w:t>
      </w:r>
    </w:p>
    <w:p>
      <w:pPr>
        <w:spacing w:after="100" w:line="259" w:lineRule="auto"/>
        <w:widowControl/>
      </w:pPr>
      <w:r>
        <w:rPr>
          <w:rFonts w:ascii="Aptos" w:hAnsi="Aptos"/>
          <w:i w:val="0"/>
          <w:sz w:val="21"/>
        </w:rPr>
        <w:t>The latest discussion rejects both extremes: a completely free-form generative report would undermine consistency, while a large catalogue of rigid full-section templates could constrain teaching or explode combinatorially. The current V4 compromise is a small renderer-owned layout grammar plus registered module families/configurations. The AI creates a schema-constrained composition plan; the renderer implements the interface.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16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Layout primitive</w:t>
            </w:r>
          </w:p>
        </w:tc>
        <w:tc>
          <w:tcPr>
            <w:tcW w:type="dxa" w:w="691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Intended role</w:t>
            </w:r>
          </w:p>
        </w:tc>
      </w:tr>
      <w:tr>
        <w:tc>
          <w:tcPr>
            <w:tcW w:type="dxa" w:w="316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TEXT_ABOVE_MODULE</w:t>
            </w:r>
          </w:p>
        </w:tc>
        <w:tc>
          <w:tcPr>
            <w:tcW w:type="dxa" w:w="69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Narrative establishes the lesson, then evidence/visualization supports it.</w:t>
            </w:r>
          </w:p>
        </w:tc>
      </w:tr>
      <w:tr>
        <w:tc>
          <w:tcPr>
            <w:tcW w:type="dxa" w:w="316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MODULE_ABOVE_TEXT</w:t>
            </w:r>
          </w:p>
        </w:tc>
        <w:tc>
          <w:tcPr>
            <w:tcW w:type="dxa" w:w="69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Evidence leads; explanation follows.</w:t>
            </w:r>
          </w:p>
        </w:tc>
      </w:tr>
      <w:tr>
        <w:tc>
          <w:tcPr>
            <w:tcW w:type="dxa" w:w="316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TEXT_LEFT_MODULE_RIGHT</w:t>
            </w:r>
          </w:p>
        </w:tc>
        <w:tc>
          <w:tcPr>
            <w:tcW w:type="dxa" w:w="69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Side-by-side narrative/evidence on wide layout; renderer owns responsive collapse.</w:t>
            </w:r>
          </w:p>
        </w:tc>
      </w:tr>
      <w:tr>
        <w:tc>
          <w:tcPr>
            <w:tcW w:type="dxa" w:w="316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MODULE_LEFT_TEXT_RIGHT</w:t>
            </w:r>
          </w:p>
        </w:tc>
        <w:tc>
          <w:tcPr>
            <w:tcW w:type="dxa" w:w="69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Visual/evidence leads beside explanation.</w:t>
            </w:r>
          </w:p>
        </w:tc>
      </w:tr>
      <w:tr>
        <w:tc>
          <w:tcPr>
            <w:tcW w:type="dxa" w:w="316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TEXT_ONLY</w:t>
            </w:r>
          </w:p>
        </w:tc>
        <w:tc>
          <w:tcPr>
            <w:tcW w:type="dxa" w:w="691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Short transition/takeaway use; not intended as an unconstrained essay loophole.</w:t>
            </w:r>
          </w:p>
        </w:tc>
      </w:tr>
      <w:tr>
        <w:tc>
          <w:tcPr>
            <w:tcW w:type="dxa" w:w="316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MODULE_ONLY</w:t>
            </w:r>
          </w:p>
        </w:tc>
        <w:tc>
          <w:tcPr>
            <w:tcW w:type="dxa" w:w="691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Legal only when the module itself carries enough purpose/selection rationale.</w:t>
            </w:r>
          </w:p>
        </w:tc>
      </w:tr>
    </w:tbl>
    <w:p>
      <w:pPr>
        <w:spacing w:after="20"/>
        <w:widowControl/>
      </w:pPr>
    </w:p>
    <w:p>
      <w:pPr>
        <w:spacing w:after="100" w:line="259" w:lineRule="auto"/>
        <w:widowControl/>
      </w:pPr>
      <w:r>
        <w:rPr>
          <w:rFonts w:ascii="Aptos" w:hAnsi="Aptos"/>
          <w:i w:val="0"/>
          <w:sz w:val="21"/>
        </w:rPr>
        <w:t>A TeachingMoment can contain multiple blocks and multiple instances of the same parent family when each serves a distinct teaching role. For example, two Viewer2D instances could be used for comparison if the lesson requires it; the model selects a registered configuration rather than inventing new button layouts or control behavior.</w:t>
      </w:r>
    </w:p>
    <w:p>
      <w:pPr>
        <w:pStyle w:val="Heading2"/>
        <w:keepNext/>
        <w:spacing w:before="140" w:after="100"/>
        <w:widowControl/>
      </w:pPr>
      <w:r>
        <w:rPr>
          <w:rFonts w:ascii="Aptos" w:hAnsi="Aptos"/>
          <w:b/>
          <w:color w:val="1F4E79"/>
          <w:sz w:val="26"/>
        </w:rPr>
        <w:t>46. Parent module families and renderer-owned behavior</w:t>
      </w:r>
    </w:p>
    <w:p>
      <w:pPr>
        <w:spacing w:after="100" w:line="259" w:lineRule="auto"/>
        <w:widowControl/>
      </w:pPr>
      <w:r>
        <w:rPr>
          <w:rFonts w:ascii="Aptos" w:hAnsi="Aptos"/>
          <w:i w:val="0"/>
          <w:sz w:val="21"/>
        </w:rPr>
        <w:t>Viewer2D is the clearest example of the parent-family concept. Candidate configurations include SINGLE_SITUATION, TWO_SITUATION_COMPARE, SELF_GOOD_VS_TYPICAL, BEFORE_AFTER_SAME_ROUND, SEQUENCE, PATTERN_OVERLAY, FOCUSED_RELATIONSHIP, UTILITY_CONTEXT, BOMB_CONTEXT and REFERENCE_CONTRAST. Each configuration is expected to own its input contract, controls, synchronization rules, fallback/UNKNOWN behavior, mobile behavior and PDF representation. The AI can choose among available configurations but not alter their implementation.</w:t>
      </w:r>
    </w:p>
    <w:p>
      <w:pPr>
        <w:spacing w:after="100" w:line="259" w:lineRule="auto"/>
        <w:widowControl/>
      </w:pPr>
      <w:r>
        <w:rPr>
          <w:rFonts w:ascii="Aptos" w:hAnsi="Aptos"/>
          <w:i w:val="0"/>
          <w:sz w:val="21"/>
        </w:rPr>
        <w:t>The same principle is intended to apply across metrics, context breakdowns, relationships, timelines, utility views, comparison views, evidence carousels and analyst modules. The module registry therefore functions as a versioned product vocabulary rather than a bag of generated widgets.</w:t>
      </w:r>
    </w:p>
    <w:p>
      <w:pPr>
        <w:pStyle w:val="Heading2"/>
        <w:keepNext/>
        <w:spacing w:before="140" w:after="100"/>
        <w:widowControl/>
      </w:pPr>
      <w:r>
        <w:rPr>
          <w:rFonts w:ascii="Aptos" w:hAnsi="Aptos"/>
          <w:b/>
          <w:color w:val="1F4E79"/>
          <w:sz w:val="26"/>
        </w:rPr>
        <w:t>47. InfoDisclosure as product infrastructure</w:t>
      </w:r>
    </w:p>
    <w:p>
      <w:pPr>
        <w:spacing w:after="100" w:line="259" w:lineRule="auto"/>
        <w:widowControl/>
      </w:pPr>
      <w:r>
        <w:rPr>
          <w:rFonts w:ascii="Aptos" w:hAnsi="Aptos"/>
          <w:i w:val="0"/>
          <w:sz w:val="21"/>
        </w:rPr>
        <w:t>Late Stage 4 feedback expressed a strong preference for “ⓘ” information affordances wherever relevant. The V4 draft turns this into a first-class microcomponent rather than a later copywriting detail. Candidate disclosure types include what a metric means, how it is calculated, why it is shown, why an example was selected, what scope it covers, limitations, source and control behavior. Important detail is expected to be available through keyboard/touch/click disclosure rather than hover-only behavior; PDF exports would convert interactive disclosures into notes or methodology references.</w:t>
      </w:r>
    </w:p>
    <w:p>
      <w:pPr>
        <w:pStyle w:val="Heading2"/>
        <w:keepNext/>
        <w:spacing w:before="140" w:after="100"/>
        <w:widowControl/>
      </w:pPr>
      <w:r>
        <w:rPr>
          <w:rFonts w:ascii="Aptos" w:hAnsi="Aptos"/>
          <w:b/>
          <w:color w:val="1F4E79"/>
          <w:sz w:val="26"/>
        </w:rPr>
        <w:t>48. ReportBundle and longitudinal continuity</w:t>
      </w:r>
    </w:p>
    <w:p>
      <w:pPr>
        <w:spacing w:after="100" w:line="259" w:lineRule="auto"/>
        <w:widowControl/>
      </w:pPr>
      <w:r>
        <w:rPr>
          <w:rFonts w:ascii="Aptos" w:hAnsi="Aptos"/>
          <w:i w:val="0"/>
          <w:sz w:val="21"/>
        </w:rPr>
        <w:t>Recurring coaching/report use introduced a new trust requirement: a study produced every week or every 25 PUGs should feel like the same product and should be comparable over time. The V4 draft therefore proposes durable JSON and PDF representations for both Player Study and Analyst Desk. The JSON is intended to preserve structured state, not merely serialize rendered text.</w:t>
      </w:r>
    </w:p>
    <w:p>
      <w:pPr>
        <w:pStyle w:val="ListBullet"/>
        <w:spacing w:after="50" w:line="252" w:lineRule="auto"/>
        <w:widowControl/>
      </w:pPr>
      <w:r>
        <w:rPr>
          <w:rFonts w:ascii="Aptos" w:hAnsi="Aptos"/>
          <w:sz w:val="20"/>
        </w:rPr>
        <w:t>Historical deterministic values are compared only when definition/algorithm versions are compatible or explicitly migrated/recomputed.</w:t>
      </w:r>
    </w:p>
    <w:p>
      <w:pPr>
        <w:pStyle w:val="ListBullet"/>
        <w:spacing w:after="50" w:line="252" w:lineRule="auto"/>
        <w:widowControl/>
      </w:pPr>
      <w:r>
        <w:rPr>
          <w:rFonts w:ascii="Aptos" w:hAnsi="Aptos"/>
          <w:sz w:val="20"/>
        </w:rPr>
        <w:t>Previous qualified findings and coaching-plan state can be revisited longitudinally.</w:t>
      </w:r>
    </w:p>
    <w:p>
      <w:pPr>
        <w:pStyle w:val="ListBullet"/>
        <w:spacing w:after="50" w:line="252" w:lineRule="auto"/>
        <w:widowControl/>
      </w:pPr>
      <w:r>
        <w:rPr>
          <w:rFonts w:ascii="Aptos" w:hAnsi="Aptos"/>
          <w:sz w:val="20"/>
        </w:rPr>
        <w:t>Historical AI prose remains tagged as interpretation and does not gain evidentiary authority through repetition.</w:t>
      </w:r>
    </w:p>
    <w:p>
      <w:pPr>
        <w:pStyle w:val="ListBullet"/>
        <w:spacing w:after="50" w:line="252" w:lineRule="auto"/>
        <w:widowControl/>
      </w:pPr>
      <w:r>
        <w:rPr>
          <w:rFonts w:ascii="Aptos" w:hAnsi="Aptos"/>
          <w:sz w:val="20"/>
        </w:rPr>
        <w:t>Reports store exact module/configuration/presentation versions so old JSON can be rendered consistently or migrated explicitly.</w:t>
      </w:r>
    </w:p>
    <w:p>
      <w:pPr>
        <w:pStyle w:val="ListBullet"/>
        <w:spacing w:after="50" w:line="252" w:lineRule="auto"/>
        <w:widowControl/>
      </w:pPr>
      <w:r>
        <w:rPr>
          <w:rFonts w:ascii="Aptos" w:hAnsi="Aptos"/>
          <w:sz w:val="20"/>
        </w:rPr>
        <w:t>Interactive modules need registered PDF fallbacks so the human archive does not silently lose meaning.</w:t>
      </w:r>
    </w:p>
    <w:p>
      <w:pPr>
        <w:pStyle w:val="Heading2"/>
        <w:keepNext/>
        <w:spacing w:before="140" w:after="100"/>
        <w:widowControl/>
      </w:pPr>
      <w:r>
        <w:rPr>
          <w:rFonts w:ascii="Aptos" w:hAnsi="Aptos"/>
          <w:b/>
          <w:color w:val="1F4E79"/>
          <w:sz w:val="26"/>
        </w:rPr>
        <w:t>49. Current AI authority boundary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Authority</w:t>
            </w:r>
          </w:p>
        </w:tc>
        <w:tc>
          <w:tcPr>
            <w:tcW w:type="dxa" w:w="813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Current proposed boundary</w:t>
            </w:r>
          </w:p>
        </w:tc>
      </w:tr>
      <w:tr>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AI may</w:t>
            </w:r>
          </w:p>
        </w:tc>
        <w:tc>
          <w:tcPr>
            <w:tcW w:type="dxa" w:w="81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Interpret qualified findings within claim ceilings; consider alternatives; decide whether a finding is worth teaching; create a composition plan using legal module/config/layout IDs; supply validated prose to designated text slots.</w:t>
            </w:r>
          </w:p>
        </w:tc>
      </w:tr>
      <w:tr>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AI may not</w:t>
            </w:r>
          </w:p>
        </w:tc>
        <w:tc>
          <w:tcPr>
            <w:tcW w:type="dxa" w:w="81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Recalculate or mutate deterministic numbers; invent denominators/recurrence; upgrade evidence class; invent new module families/configurations; write arbitrary UI/CSS; change button labels/control order; define viewer behavior; select unsupported evidence.</w:t>
            </w:r>
          </w:p>
        </w:tc>
      </w:tr>
      <w:tr>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Renderer/local code owns</w:t>
            </w:r>
          </w:p>
        </w:tc>
        <w:tc>
          <w:tcPr>
            <w:tcW w:type="dxa" w:w="81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Responsive layout, design tokens, accessibility, controls, module behavior, calculations, evidence selection rules, empty/error/UNKNOWN states, PDF fallback and validation of the composition plan.</w:t>
            </w:r>
          </w:p>
        </w:tc>
      </w:tr>
    </w:tbl>
    <w:p>
      <w:pPr>
        <w:spacing w:after="20"/>
        <w:widowControl/>
      </w:pPr>
    </w:p>
    <w:p>
      <w:pPr>
        <w:widowControl/>
      </w:pPr>
      <w:r>
        <w:br w:type="page"/>
      </w:r>
    </w:p>
    <w:p>
      <w:pPr>
        <w:pStyle w:val="Heading1"/>
        <w:keepNext/>
        <w:spacing w:before="200" w:after="100"/>
        <w:widowControl/>
      </w:pPr>
      <w:r>
        <w:rPr>
          <w:rFonts w:ascii="Aptos" w:hAnsi="Aptos"/>
          <w:b/>
          <w:color w:val="17365D"/>
          <w:sz w:val="32"/>
        </w:rPr>
        <w:t>Part VIII — Unfinished design, unresolved decisions and known risks</w:t>
      </w:r>
    </w:p>
    <w:p>
      <w:pPr>
        <w:pStyle w:val="Heading2"/>
        <w:keepNext/>
        <w:spacing w:before="140" w:after="100"/>
        <w:widowControl/>
      </w:pPr>
      <w:r>
        <w:rPr>
          <w:rFonts w:ascii="Aptos" w:hAnsi="Aptos"/>
          <w:b/>
          <w:color w:val="1F4E79"/>
          <w:sz w:val="26"/>
        </w:rPr>
        <w:t>50. V4 questions intentionally left unfrozen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Question</w:t>
            </w:r>
          </w:p>
        </w:tc>
        <w:tc>
          <w:tcPr>
            <w:tcW w:type="dxa" w:w="748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Current status</w:t>
            </w:r>
          </w:p>
        </w:tc>
      </w:tr>
      <w:tr>
        <w:tc>
          <w:tcPr>
            <w:tcW w:type="dxa" w:w="25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Analyst Desk name</w:t>
            </w:r>
          </w:p>
        </w:tc>
        <w:tc>
          <w:tcPr>
            <w:tcW w:type="dxa" w:w="74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“Analyst Desk” remains a working name.</w:t>
            </w:r>
          </w:p>
        </w:tc>
      </w:tr>
      <w:tr>
        <w:tc>
          <w:tcPr>
            <w:tcW w:type="dxa" w:w="25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Teaching density</w:t>
            </w:r>
          </w:p>
        </w:tc>
        <w:tc>
          <w:tcPr>
            <w:tcW w:type="dxa" w:w="74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No fixed maximum/soft budget for Teaching Moments or module count has been calibrated.</w:t>
            </w:r>
          </w:p>
        </w:tc>
      </w:tr>
      <w:tr>
        <w:tc>
          <w:tcPr>
            <w:tcW w:type="dxa" w:w="25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Viewer2D v1 scope</w:t>
            </w:r>
          </w:p>
        </w:tc>
        <w:tc>
          <w:tcPr>
            <w:tcW w:type="dxa" w:w="74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Which configurations deserve first implementation versus later capability tracks remains open.</w:t>
            </w:r>
          </w:p>
        </w:tc>
      </w:tr>
      <w:tr>
        <w:tc>
          <w:tcPr>
            <w:tcW w:type="dxa" w:w="25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Desktop/PDF technology</w:t>
            </w:r>
          </w:p>
        </w:tc>
        <w:tc>
          <w:tcPr>
            <w:tcW w:type="dxa" w:w="74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Tauri remains a candidate rather than a freeze; final PDF rendering technology is also open.</w:t>
            </w:r>
          </w:p>
        </w:tc>
      </w:tr>
      <w:tr>
        <w:tc>
          <w:tcPr>
            <w:tcW w:type="dxa" w:w="25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Map/radar delivery</w:t>
            </w:r>
          </w:p>
        </w:tc>
        <w:tc>
          <w:tcPr>
            <w:tcW w:type="dxa" w:w="74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Current/historical asset acquisition, transform validation, distribution and legal posture remain unresolved.</w:t>
            </w:r>
          </w:p>
        </w:tc>
      </w:tr>
      <w:tr>
        <w:tc>
          <w:tcPr>
            <w:tcW w:type="dxa" w:w="25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Human time</w:t>
            </w:r>
          </w:p>
        </w:tc>
        <w:tc>
          <w:tcPr>
            <w:tcW w:type="dxa" w:w="74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Validated timing semantics across FACEIT/Premier/SourceTV/segmented sources remain open.</w:t>
            </w:r>
          </w:p>
        </w:tc>
      </w:tr>
      <w:tr>
        <w:tc>
          <w:tcPr>
            <w:tcW w:type="dxa" w:w="25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Training resources</w:t>
            </w:r>
          </w:p>
        </w:tc>
        <w:tc>
          <w:tcPr>
            <w:tcW w:type="dxa" w:w="74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TrainingResourceRegistry is explicitly deferred.</w:t>
            </w:r>
          </w:p>
        </w:tc>
      </w:tr>
      <w:tr>
        <w:tc>
          <w:tcPr>
            <w:tcW w:type="dxa" w:w="25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Human coach annotations</w:t>
            </w:r>
          </w:p>
        </w:tc>
        <w:tc>
          <w:tcPr>
            <w:tcW w:type="dxa" w:w="74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Whether/how a human coach can annotate or override teaching promotion longitudinally remains open.</w:t>
            </w:r>
          </w:p>
        </w:tc>
      </w:tr>
      <w:tr>
        <w:tc>
          <w:tcPr>
            <w:tcW w:type="dxa" w:w="25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Historical AI context</w:t>
            </w:r>
          </w:p>
        </w:tc>
        <w:tc>
          <w:tcPr>
            <w:tcW w:type="dxa" w:w="74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How much prior AI interpretation should be supplied to a future model versus only structured state remains open.</w:t>
            </w:r>
          </w:p>
        </w:tc>
      </w:tr>
      <w:tr>
        <w:tc>
          <w:tcPr>
            <w:tcW w:type="dxa" w:w="25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Team/strategy modules</w:t>
            </w:r>
          </w:p>
        </w:tc>
        <w:tc>
          <w:tcPr>
            <w:tcW w:type="dxa" w:w="74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Which research module families graduate after held-out/null validation remains open.</w:t>
            </w:r>
          </w:p>
        </w:tc>
      </w:tr>
    </w:tbl>
    <w:p>
      <w:pPr>
        <w:spacing w:after="20"/>
        <w:widowControl/>
      </w:pPr>
    </w:p>
    <w:p>
      <w:pPr>
        <w:spacing w:after="100"/>
        <w:widowControl/>
      </w:pPr>
      <w:r>
        <w:rPr>
          <w:rFonts w:ascii="Aptos" w:hAnsi="Aptos"/>
          <w:i/>
          <w:color w:val="6B7785"/>
          <w:sz w:val="17"/>
        </w:rPr>
        <w:t>Source basis: v4.0 §42.</w:t>
      </w:r>
    </w:p>
    <w:p>
      <w:pPr>
        <w:pStyle w:val="Heading2"/>
        <w:keepNext/>
        <w:spacing w:before="140" w:after="100"/>
        <w:widowControl/>
      </w:pPr>
      <w:r>
        <w:rPr>
          <w:rFonts w:ascii="Aptos" w:hAnsi="Aptos"/>
          <w:b/>
          <w:color w:val="1F4E79"/>
          <w:sz w:val="26"/>
        </w:rPr>
        <w:t>51. Earlier unresolved v3.1 questions still relevant to V4</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Area</w:t>
            </w:r>
          </w:p>
        </w:tc>
        <w:tc>
          <w:tcPr>
            <w:tcW w:type="dxa" w:w="763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Open question</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Timing semantics</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What replaces nominal 64-tick assumptions and how source clocks are validated.</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Economy taxonomy</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Production economy-state semantics transferable across source families/patches.</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Spawn classes</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Which map-aware spawn classes are stable/useful enough to freeze.</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Comparison matcher</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Metric-specific comparability/overlap without false equivalence.</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Strategy discovery</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Route/utility/bomb representation and discovery method that survives other-team/null and held-out testing.</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Tactical phase</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Whether inferred phase boundaries are useful/valid without polluting shared evidence.</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Dense evidence economics</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Memory/disk/latency envelope for routes/projectiles/replay on target Windows hardware.</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Native/fused extraction</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Whether deeper native integration materially improves performance after caching/query batching.</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Content rights</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Commercial distribution rights for creator-derived curriculum and Valve-related assets.</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Information saturation</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How many demos/contexts are useful by mode without arbitrary caps.</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Model context/cost</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How much model context is needed for compact coaching versus dense strategy reconstruction.</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Release scope</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Which modes actually meet release gates; architecture support does not imply shipping authorization.</w:t>
            </w:r>
          </w:p>
        </w:tc>
      </w:tr>
    </w:tbl>
    <w:p>
      <w:pPr>
        <w:spacing w:after="20"/>
        <w:widowControl/>
      </w:pPr>
    </w:p>
    <w:p>
      <w:pPr>
        <w:spacing w:after="100"/>
        <w:widowControl/>
      </w:pPr>
      <w:r>
        <w:rPr>
          <w:rFonts w:ascii="Aptos" w:hAnsi="Aptos"/>
          <w:i/>
          <w:color w:val="6B7785"/>
          <w:sz w:val="17"/>
        </w:rPr>
        <w:t>Source basis: v3.1 §68.</w:t>
      </w:r>
    </w:p>
    <w:p>
      <w:pPr>
        <w:pStyle w:val="Heading2"/>
        <w:keepNext/>
        <w:spacing w:before="140" w:after="100"/>
        <w:widowControl/>
      </w:pPr>
      <w:r>
        <w:rPr>
          <w:rFonts w:ascii="Aptos" w:hAnsi="Aptos"/>
          <w:b/>
          <w:color w:val="1F4E79"/>
          <w:sz w:val="26"/>
        </w:rPr>
        <w:t>52. Statistical and coaching validity still has promotion gaps</w:t>
      </w:r>
    </w:p>
    <w:p>
      <w:pPr>
        <w:spacing w:after="100" w:line="259" w:lineRule="auto"/>
        <w:widowControl/>
      </w:pPr>
      <w:r>
        <w:rPr>
          <w:rFonts w:ascii="Aptos" w:hAnsi="Aptos"/>
          <w:i w:val="0"/>
          <w:sz w:val="21"/>
        </w:rPr>
        <w:t>The project has demonstrated deterministic policy calibration and one bounded internal coaching loop, but the available record does not establish general coaching effectiveness across different player profiles. V2.1 and later milestones explicitly identify external-player/role/skill generalization as a promotion gate. Match-aware uncertainty for clustered round data is also pending for polished analytical presentation. Player-facing causal claims remain intentionally conservative because simple before/after improvement cannot establish that a coaching intervention caused the change.</w:t>
      </w:r>
    </w:p>
    <w:p>
      <w:pPr>
        <w:pStyle w:val="Heading2"/>
        <w:keepNext/>
        <w:spacing w:before="140" w:after="100"/>
        <w:widowControl/>
      </w:pPr>
      <w:r>
        <w:rPr>
          <w:rFonts w:ascii="Aptos" w:hAnsi="Aptos"/>
          <w:b/>
          <w:color w:val="1F4E79"/>
          <w:sz w:val="26"/>
        </w:rPr>
        <w:t>53. Strategy and team-intent inference remain higher-risk domains</w:t>
      </w:r>
    </w:p>
    <w:p>
      <w:pPr>
        <w:spacing w:after="100" w:line="259" w:lineRule="auto"/>
        <w:widowControl/>
      </w:pPr>
      <w:r>
        <w:rPr>
          <w:rFonts w:ascii="Aptos" w:hAnsi="Aptos"/>
          <w:i w:val="0"/>
          <w:sz w:val="21"/>
        </w:rPr>
        <w:t>The strategy architecture increasingly distinguishes observed round structure from inferred family/module/branch representations. The FaZe Cache reference demonstrated that a rich hierarchy can be useful, but it was not ground truth for call identity or automated discovery. V3.1 therefore left the detector unfrozen and required other-team baselines/nulls, held-out assignment, coverage/sensitivity/counterexamples and, where possible, human labels. Team responsibilities remain contextual and intent/call identity remains UNKNOWN absent external evidence.</w:t>
      </w:r>
    </w:p>
    <w:p>
      <w:pPr>
        <w:pStyle w:val="Heading2"/>
        <w:keepNext/>
        <w:spacing w:before="140" w:after="100"/>
        <w:widowControl/>
      </w:pPr>
      <w:r>
        <w:rPr>
          <w:rFonts w:ascii="Aptos" w:hAnsi="Aptos"/>
          <w:b/>
          <w:color w:val="1F4E79"/>
          <w:sz w:val="26"/>
        </w:rPr>
        <w:t>54. Spatial exactness, dynamic state and legal delivery remain intertwined</w:t>
      </w:r>
    </w:p>
    <w:p>
      <w:pPr>
        <w:spacing w:after="100" w:line="259" w:lineRule="auto"/>
        <w:widowControl/>
      </w:pPr>
      <w:r>
        <w:rPr>
          <w:rFonts w:ascii="Aptos" w:hAnsi="Aptos"/>
          <w:i w:val="0"/>
          <w:sz w:val="21"/>
        </w:rPr>
        <w:t>The desired viewer is visually ambitious—real CS2 radar/map, routes, utility, bomb state, potentially LOS/exposure—but exactness depends on historically appropriate assets, validated transforms and dynamic-state coverage. Distribution of Valve-derived assets raises a separate rights question from technical extraction. Independent reviews also highlighted hostile-demo process containment and supply-chain risk around parser forks/dependencies. These remain implementation/delivery concerns rather than solved product features.</w:t>
      </w:r>
    </w:p>
    <w:p>
      <w:pPr>
        <w:pStyle w:val="Heading2"/>
        <w:keepNext/>
        <w:spacing w:before="140" w:after="100"/>
        <w:widowControl/>
      </w:pPr>
      <w:r>
        <w:rPr>
          <w:rFonts w:ascii="Aptos" w:hAnsi="Aptos"/>
          <w:b/>
          <w:color w:val="1F4E79"/>
          <w:sz w:val="26"/>
        </w:rPr>
        <w:t>55. Cope Barn remains intentionally outside the analytical contract</w:t>
      </w:r>
    </w:p>
    <w:p>
      <w:pPr>
        <w:spacing w:after="100" w:line="259" w:lineRule="auto"/>
        <w:widowControl/>
      </w:pPr>
      <w:r>
        <w:rPr>
          <w:rFonts w:ascii="Aptos" w:hAnsi="Aptos"/>
          <w:i w:val="0"/>
          <w:sz w:val="21"/>
        </w:rPr>
        <w:t>The current concept is an entertainment/morale mode selected before serious analysis. It may use parody and exaggerated “cope,” but the V4 draft proposes that it cannot write AnalystFindings, tendencies, CoachingPlan state, serious comparisons or longitudinal evidence. Unsupported accusations such as declaring a named opponent a cheater would not be presented as factual analysis. The exact interface/content design is still conceptual.</w:t>
      </w:r>
    </w:p>
    <w:p>
      <w:pPr>
        <w:pStyle w:val="Heading2"/>
        <w:keepNext/>
        <w:spacing w:before="140" w:after="100"/>
        <w:widowControl/>
      </w:pPr>
      <w:r>
        <w:rPr>
          <w:rFonts w:ascii="Aptos" w:hAnsi="Aptos"/>
          <w:b/>
          <w:color w:val="1F4E79"/>
          <w:sz w:val="26"/>
        </w:rPr>
        <w:t>56. Proposed V4 roadmap is directional, not a freeze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44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Proposed phase</w:t>
            </w:r>
          </w:p>
        </w:tc>
        <w:tc>
          <w:tcPr>
            <w:tcW w:type="dxa" w:w="864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Draft scope</w:t>
            </w:r>
          </w:p>
        </w:tc>
      </w:tr>
      <w:tr>
        <w:tc>
          <w:tcPr>
            <w:tcW w:type="dxa" w:w="14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V4-A</w:t>
            </w:r>
          </w:p>
        </w:tc>
        <w:tc>
          <w:tcPr>
            <w:tcW w:type="dxa" w:w="86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Extract draft architecture into versioned schemas/contracts.</w:t>
            </w:r>
          </w:p>
        </w:tc>
      </w:tr>
      <w:tr>
        <w:tc>
          <w:tcPr>
            <w:tcW w:type="dxa" w:w="144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V4-B</w:t>
            </w:r>
          </w:p>
        </w:tc>
        <w:tc>
          <w:tcPr>
            <w:tcW w:type="dxa" w:w="864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Build registry loader, composition validator, layout grammar, design tokens, InfoDisclosure and fixed Player Study shell.</w:t>
            </w:r>
          </w:p>
        </w:tc>
      </w:tr>
      <w:tr>
        <w:tc>
          <w:tcPr>
            <w:tcW w:type="dxa" w:w="14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V4-C</w:t>
            </w:r>
          </w:p>
        </w:tc>
        <w:tc>
          <w:tcPr>
            <w:tcW w:type="dxa" w:w="86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Implement first Analyst Desk vertical slice from deterministic analytics → AnalystFindings → analytical composition.</w:t>
            </w:r>
          </w:p>
        </w:tc>
      </w:tr>
      <w:tr>
        <w:tc>
          <w:tcPr>
            <w:tcW w:type="dxa" w:w="144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V4-D</w:t>
            </w:r>
          </w:p>
        </w:tc>
        <w:tc>
          <w:tcPr>
            <w:tcW w:type="dxa" w:w="864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Promote selected findings → TeachingMoments → CompositionPlan → Player Study, then human-review usefulness.</w:t>
            </w:r>
          </w:p>
        </w:tc>
      </w:tr>
      <w:tr>
        <w:tc>
          <w:tcPr>
            <w:tcW w:type="dxa" w:w="14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V4-E</w:t>
            </w:r>
          </w:p>
        </w:tc>
        <w:tc>
          <w:tcPr>
            <w:tcW w:type="dxa" w:w="86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Implement ReportBundle/PDF+JSON and longitudinal compatibility.</w:t>
            </w:r>
          </w:p>
        </w:tc>
      </w:tr>
      <w:tr>
        <w:tc>
          <w:tcPr>
            <w:tcW w:type="dxa" w:w="144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V4-F</w:t>
            </w:r>
          </w:p>
        </w:tc>
        <w:tc>
          <w:tcPr>
            <w:tcW w:type="dxa" w:w="864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Harden Viewer2D family, request-driven situation evidence, real-map and human-time capability tracks.</w:t>
            </w:r>
          </w:p>
        </w:tc>
      </w:tr>
      <w:tr>
        <w:tc>
          <w:tcPr>
            <w:tcW w:type="dxa" w:w="14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V4-G</w:t>
            </w:r>
          </w:p>
        </w:tc>
        <w:tc>
          <w:tcPr>
            <w:tcW w:type="dxa" w:w="86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Apply presentation architecture to Personal Coaching rather than inventing a separate UI system.</w:t>
            </w:r>
          </w:p>
        </w:tc>
      </w:tr>
      <w:tr>
        <w:tc>
          <w:tcPr>
            <w:tcW w:type="dxa" w:w="144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V4-H</w:t>
            </w:r>
          </w:p>
        </w:tc>
        <w:tc>
          <w:tcPr>
            <w:tcW w:type="dxa" w:w="864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Extend independently validated Comparison / Team / Strategy modes.</w:t>
            </w:r>
          </w:p>
        </w:tc>
      </w:tr>
      <w:tr>
        <w:tc>
          <w:tcPr>
            <w:tcW w:type="dxa" w:w="14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V4-I</w:t>
            </w:r>
          </w:p>
        </w:tc>
        <w:tc>
          <w:tcPr>
            <w:tcW w:type="dxa" w:w="864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Consider Cope Barn after serious contracts are stable.</w:t>
            </w:r>
          </w:p>
        </w:tc>
      </w:tr>
    </w:tbl>
    <w:p>
      <w:pPr>
        <w:spacing w:after="20"/>
        <w:widowControl/>
      </w:pPr>
    </w:p>
    <w:p>
      <w:pPr>
        <w:widowControl/>
      </w:pPr>
      <w:r>
        <w:br w:type="page"/>
      </w:r>
    </w:p>
    <w:p>
      <w:pPr>
        <w:pStyle w:val="Heading1"/>
        <w:keepNext/>
        <w:spacing w:before="200" w:after="100"/>
        <w:widowControl/>
      </w:pPr>
      <w:r>
        <w:rPr>
          <w:rFonts w:ascii="Aptos" w:hAnsi="Aptos"/>
          <w:b/>
          <w:color w:val="17365D"/>
          <w:sz w:val="32"/>
        </w:rPr>
        <w:t>Part IX — Consultation and external-pattern influence, recorded without treating it as authority</w:t>
      </w:r>
    </w:p>
    <w:p>
      <w:pPr>
        <w:pStyle w:val="Heading2"/>
        <w:keepNext/>
        <w:spacing w:before="140" w:after="100"/>
        <w:widowControl/>
      </w:pPr>
      <w:r>
        <w:rPr>
          <w:rFonts w:ascii="Aptos" w:hAnsi="Aptos"/>
          <w:b/>
          <w:color w:val="1F4E79"/>
          <w:sz w:val="26"/>
        </w:rPr>
        <w:t>57. Consultation evolved from idea generation to bias-controlled advisory input</w:t>
      </w:r>
    </w:p>
    <w:p>
      <w:pPr>
        <w:spacing w:after="100" w:line="259" w:lineRule="auto"/>
        <w:widowControl/>
      </w:pPr>
      <w:r>
        <w:rPr>
          <w:rFonts w:ascii="Aptos" w:hAnsi="Aptos"/>
          <w:i w:val="0"/>
          <w:sz w:val="21"/>
        </w:rPr>
        <w:t>The project used multiple models and consultants throughout its history. Early multi-model work acted as an idea/stress-test process. V2.0/V2.1 used explicit external reviews and a pre-review self-red-team. The v3.0 consultant cycle later revealed a methodological limitation: the reviewers were not blinded independent replications because the prompt named suspected weak points and summarized earlier review themes. V3.1 therefore introduced a bias-control disposition in which recommendations were adopted only when supported independently by primary artifacts, inherited guardrails or clear semantic/engineering logic.</w:t>
      </w:r>
    </w:p>
    <w:p>
      <w:pPr>
        <w:spacing w:after="100" w:line="259" w:lineRule="auto"/>
        <w:widowControl/>
      </w:pPr>
      <w:r>
        <w:rPr>
          <w:rFonts w:ascii="Aptos" w:hAnsi="Aptos"/>
          <w:i w:val="0"/>
          <w:sz w:val="21"/>
        </w:rPr>
        <w:t>This is relevant to the current record because the design documents themselves are products of iterative consultation. Their presence in an architecture document is evidence of deliberation, not evidence that a method is validated. The current V4 draft preserves this distinction by labeling many modules/configurations and roadmap items as candidates or research.</w:t>
      </w:r>
    </w:p>
    <w:p>
      <w:pPr>
        <w:pStyle w:val="Heading2"/>
        <w:keepNext/>
        <w:spacing w:before="140" w:after="100"/>
        <w:widowControl/>
      </w:pPr>
      <w:r>
        <w:rPr>
          <w:rFonts w:ascii="Aptos" w:hAnsi="Aptos"/>
          <w:b/>
          <w:color w:val="1F4E79"/>
          <w:sz w:val="26"/>
        </w:rPr>
        <w:t>58. V4 external product research: pattern reference, not product authority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58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Reference</w:t>
            </w:r>
          </w:p>
        </w:tc>
        <w:tc>
          <w:tcPr>
            <w:tcW w:type="dxa" w:w="302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Observed pattern</w:t>
            </w:r>
          </w:p>
        </w:tc>
        <w:tc>
          <w:tcPr>
            <w:tcW w:type="dxa" w:w="302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Candidate influence</w:t>
            </w:r>
          </w:p>
        </w:tc>
        <w:tc>
          <w:tcPr>
            <w:tcW w:type="dxa" w:w="288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Deliberate non-adoption</w:t>
            </w:r>
          </w:p>
        </w:tc>
      </w:tr>
      <w:tr>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Retool</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AI composition from modular trusted blocks; plan-first generation.</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CompositionPlan concept; product-owned components.</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runtime arbitrary UI/code generation.</w:t>
            </w:r>
          </w:p>
        </w:tc>
      </w:tr>
      <w:tr>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Grafana</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Reusable library panels / source-of-truth behavior.</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Versioned module definitions and repeated instances.</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dashboard-first assumption that every finding becomes a panel.</w:t>
            </w:r>
          </w:p>
        </w:tc>
      </w:tr>
      <w:tr>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Quarto</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Small flexible layout grammar around narrative/data.</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Rows/columns/cards inspire small renderer-owned layout vocabulary.</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arbitrary AI pixel sizing/styling.</w:t>
            </w:r>
          </w:p>
        </w:tc>
      </w:tr>
      <w:tr>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Evidence.dev</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Versioned reports combining data and components.</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Separate analytical state from presentation definitions.</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arbitrary code generation as report contract.</w:t>
            </w:r>
          </w:p>
        </w:tc>
      </w:tr>
      <w:tr>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Hex / Datadog notebooks</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Interleaved narrative and analytical evidence.</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Analyst Desk as narrative analytical document, not only dashboard.</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notebook/editor density on Player Study.</w:t>
            </w:r>
          </w:p>
        </w:tc>
      </w:tr>
      <w:tr>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Power BI / Metabase</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Progressive disclosure and scoped filters.</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InfoDisclosure and explicit report/TeachingMoment/module filter scope.</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BI jargon/dense chrome or ambiguous filter wiring.</w:t>
            </w:r>
          </w:p>
        </w:tc>
      </w:tr>
      <w:tr>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Hudl</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Data linked directly to selected video/coach moments.</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Findings link to situation evidence with visible purpose.</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Video is not assumed to explain itself.</w:t>
            </w:r>
          </w:p>
        </w:tc>
      </w:tr>
      <w:tr>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SCOPE.GG</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Round/event 2D replay is familiar CS interaction pattern.</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Semantic event navigation and browser-native replay ideas.</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copying of its taxonomy or treating replay as coaching truth.</w:t>
            </w:r>
          </w:p>
        </w:tc>
      </w:tr>
      <w:tr>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HLTV / Leetify</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Filterable stats, definitions, recurring personal history.</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All/T/CT context, help affordances, previous-study continuity.</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single-number rating as coaching truth.</w:t>
            </w:r>
          </w:p>
        </w:tc>
      </w:tr>
      <w:tr>
        <w:tc>
          <w:tcPr>
            <w:tcW w:type="dxa" w:w="158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Mobalytics</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Bounded post-game highlight selection.</w:t>
            </w:r>
          </w:p>
        </w:tc>
        <w:tc>
          <w:tcPr>
            <w:tcW w:type="dxa" w:w="30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Purposeful selected evidence rather than exhaustive event dump.</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universal fixed highlight count/opaque importance score.</w:t>
            </w:r>
          </w:p>
        </w:tc>
      </w:tr>
      <w:tr>
        <w:tc>
          <w:tcPr>
            <w:tcW w:type="dxa" w:w="158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W3C ARIA disclosure</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Disclosure controls have accessibility semantics distinct from hover tooltips.</w:t>
            </w:r>
          </w:p>
        </w:tc>
        <w:tc>
          <w:tcPr>
            <w:tcW w:type="dxa" w:w="30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InfoDisclosure keyboard/touch/click behavior.</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No important methodology hidden only on mouse hover.</w:t>
            </w:r>
          </w:p>
        </w:tc>
      </w:tr>
    </w:tbl>
    <w:p>
      <w:pPr>
        <w:spacing w:after="20"/>
        <w:widowControl/>
      </w:pPr>
    </w:p>
    <w:p>
      <w:pPr>
        <w:spacing w:after="100"/>
        <w:widowControl/>
      </w:pPr>
      <w:r>
        <w:rPr>
          <w:rFonts w:ascii="Aptos" w:hAnsi="Aptos"/>
          <w:i/>
          <w:color w:val="6B7785"/>
          <w:sz w:val="17"/>
        </w:rPr>
        <w:t>Source basis: V4_External_Pattern_Research_Matrix_v0.1.md. The matrix itself states that external products are pattern references, not authorities.</w:t>
      </w:r>
    </w:p>
    <w:p>
      <w:pPr>
        <w:widowControl/>
      </w:pPr>
      <w:r>
        <w:br w:type="page"/>
      </w:r>
    </w:p>
    <w:p>
      <w:pPr>
        <w:pStyle w:val="Heading1"/>
        <w:keepNext/>
        <w:spacing w:before="200" w:after="100"/>
        <w:widowControl/>
      </w:pPr>
      <w:r>
        <w:rPr>
          <w:rFonts w:ascii="Aptos" w:hAnsi="Aptos"/>
          <w:b/>
          <w:color w:val="17365D"/>
          <w:sz w:val="32"/>
        </w:rPr>
        <w:t>Part X — What the product is attempting to accomplish</w:t>
      </w:r>
    </w:p>
    <w:p>
      <w:pPr>
        <w:pStyle w:val="Heading2"/>
        <w:keepNext/>
        <w:spacing w:before="140" w:after="100"/>
        <w:widowControl/>
      </w:pPr>
      <w:r>
        <w:rPr>
          <w:rFonts w:ascii="Aptos" w:hAnsi="Aptos"/>
          <w:b/>
          <w:color w:val="1F4E79"/>
          <w:sz w:val="26"/>
        </w:rPr>
        <w:t>59. Intended value proposition, stated as aspiration rather than validated outcome</w:t>
      </w:r>
    </w:p>
    <w:p>
      <w:pPr>
        <w:spacing w:after="100" w:line="259" w:lineRule="auto"/>
        <w:widowControl/>
      </w:pPr>
      <w:r>
        <w:rPr>
          <w:rFonts w:ascii="Aptos" w:hAnsi="Aptos"/>
          <w:i w:val="0"/>
          <w:sz w:val="21"/>
        </w:rPr>
        <w:t>Across the design lineage, the intended value is broader than automated statistics. The project aims to make large collections of CS2 demos usable for longitudinal understanding: reconstruct what happened with enough fidelity to ask meaningful questions; measure repeated relationships without forcing the model to count; let an analytical layer interrogate scope, counterexamples and mechanisms; and present selected lessons in a form a player can understand and revisit later.</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Aspiration</w:t>
            </w:r>
          </w:p>
        </w:tc>
        <w:tc>
          <w:tcPr>
            <w:tcW w:type="dxa" w:w="72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7"/>
              </w:rPr>
              <w:t>How the architecture attempts to support it</w:t>
            </w:r>
          </w:p>
        </w:tc>
      </w:tr>
      <w:tr>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Reduce manual review burden</w:t>
            </w:r>
          </w:p>
        </w:tc>
        <w:tc>
          <w:tcPr>
            <w:tcW w:type="dxa" w:w="72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Use deterministic parsing/reconstruction and bounded retrieval to let a coach/analyst navigate many demos without watching every round linearly.</w:t>
            </w:r>
          </w:p>
        </w:tc>
      </w:tr>
      <w:tr>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Preserve evidence integrity</w:t>
            </w:r>
          </w:p>
        </w:tc>
        <w:tc>
          <w:tcPr>
            <w:tcW w:type="dxa" w:w="72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Keep raw demos recoverable, identities exact, UNKNOWN explicit, source capability/provenance visible and claims bounded to sensor meaning.</w:t>
            </w:r>
          </w:p>
        </w:tc>
      </w:tr>
      <w:tr>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Support longitudinal learning</w:t>
            </w:r>
          </w:p>
        </w:tc>
        <w:tc>
          <w:tcPr>
            <w:tcW w:type="dxa" w:w="72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Retain versioned historical state so later studies can discuss improvement, stability, regression, resolution or uncertainty.</w:t>
            </w:r>
          </w:p>
        </w:tc>
      </w:tr>
      <w:tr>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Separate analysis from teaching</w:t>
            </w:r>
          </w:p>
        </w:tc>
        <w:tc>
          <w:tcPr>
            <w:tcW w:type="dxa" w:w="72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Allow Analyst Desk to be mathematically/diagnostically rich while Player Study only shows content that serves a teaching purpose.</w:t>
            </w:r>
          </w:p>
        </w:tc>
      </w:tr>
      <w:tr>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Use AI where contextual synthesis is useful</w:t>
            </w:r>
          </w:p>
        </w:tc>
        <w:tc>
          <w:tcPr>
            <w:tcW w:type="dxa" w:w="72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Let AI connect qualified findings, consider alternatives and compose lessons while deterministic systems own counts, qualification and UI behavior.</w:t>
            </w:r>
          </w:p>
        </w:tc>
      </w:tr>
      <w:tr>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Support multiple CS2 questions</w:t>
            </w:r>
          </w:p>
        </w:tc>
        <w:tc>
          <w:tcPr>
            <w:tcW w:type="dxa" w:w="72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Reuse the shared evidence core for personal coaching, study, comparison and team/strategy questions without pretending one analysis method fits every mode.</w:t>
            </w:r>
          </w:p>
        </w:tc>
      </w:tr>
      <w:tr>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Make reports feel durable rather than random</w:t>
            </w:r>
          </w:p>
        </w:tc>
        <w:tc>
          <w:tcPr>
            <w:tcW w:type="dxa" w:w="72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7"/>
              </w:rPr>
              <w:t>Use stable shells, registered modules/configurations, versioned JSON/PDF and consistent controls across recurring studies.</w:t>
            </w:r>
          </w:p>
        </w:tc>
      </w:tr>
    </w:tbl>
    <w:p>
      <w:pPr>
        <w:spacing w:after="20"/>
        <w:widowControl/>
      </w:pPr>
    </w:p>
    <w:p>
      <w:pPr>
        <w:pStyle w:val="Heading2"/>
        <w:keepNext/>
        <w:spacing w:before="140" w:after="100"/>
        <w:widowControl/>
      </w:pPr>
      <w:r>
        <w:rPr>
          <w:rFonts w:ascii="Aptos" w:hAnsi="Aptos"/>
          <w:b/>
          <w:color w:val="1F4E79"/>
          <w:sz w:val="26"/>
        </w:rPr>
        <w:t>60. What the available record does not yet demonstrate</w:t>
      </w:r>
    </w:p>
    <w:p>
      <w:pPr>
        <w:pStyle w:val="ListBullet"/>
        <w:spacing w:after="50" w:line="252" w:lineRule="auto"/>
        <w:widowControl/>
      </w:pPr>
      <w:r>
        <w:rPr>
          <w:rFonts w:ascii="Aptos" w:hAnsi="Aptos"/>
          <w:sz w:val="20"/>
        </w:rPr>
        <w:t>General coaching effectiveness across diverse players, skill levels, roles and contexts.</w:t>
      </w:r>
    </w:p>
    <w:p>
      <w:pPr>
        <w:pStyle w:val="ListBullet"/>
        <w:spacing w:after="50" w:line="252" w:lineRule="auto"/>
        <w:widowControl/>
      </w:pPr>
      <w:r>
        <w:rPr>
          <w:rFonts w:ascii="Aptos" w:hAnsi="Aptos"/>
          <w:sz w:val="20"/>
        </w:rPr>
        <w:t>A production-ready Analyst Desk or V4 compositional renderer.</w:t>
      </w:r>
    </w:p>
    <w:p>
      <w:pPr>
        <w:pStyle w:val="ListBullet"/>
        <w:spacing w:after="50" w:line="252" w:lineRule="auto"/>
        <w:widowControl/>
      </w:pPr>
      <w:r>
        <w:rPr>
          <w:rFonts w:ascii="Aptos" w:hAnsi="Aptos"/>
          <w:sz w:val="20"/>
        </w:rPr>
        <w:t>A finalized library of TeachingMoment modules/configurations or a validated optimal report density.</w:t>
      </w:r>
    </w:p>
    <w:p>
      <w:pPr>
        <w:pStyle w:val="ListBullet"/>
        <w:spacing w:after="50" w:line="252" w:lineRule="auto"/>
        <w:widowControl/>
      </w:pPr>
      <w:r>
        <w:rPr>
          <w:rFonts w:ascii="Aptos" w:hAnsi="Aptos"/>
          <w:sz w:val="20"/>
        </w:rPr>
        <w:t>A complete historically accurate real-map/radar delivery pipeline for all demos.</w:t>
      </w:r>
    </w:p>
    <w:p>
      <w:pPr>
        <w:pStyle w:val="ListBullet"/>
        <w:spacing w:after="50" w:line="252" w:lineRule="auto"/>
        <w:widowControl/>
      </w:pPr>
      <w:r>
        <w:rPr>
          <w:rFonts w:ascii="Aptos" w:hAnsi="Aptos"/>
          <w:sz w:val="20"/>
        </w:rPr>
        <w:t>A fully validated source-independent human-time model.</w:t>
      </w:r>
    </w:p>
    <w:p>
      <w:pPr>
        <w:pStyle w:val="ListBullet"/>
        <w:spacing w:after="50" w:line="252" w:lineRule="auto"/>
        <w:widowControl/>
      </w:pPr>
      <w:r>
        <w:rPr>
          <w:rFonts w:ascii="Aptos" w:hAnsi="Aptos"/>
          <w:sz w:val="20"/>
        </w:rPr>
        <w:t>Production-grade automated team-strategy discovery and responsibility inference.</w:t>
      </w:r>
    </w:p>
    <w:p>
      <w:pPr>
        <w:pStyle w:val="ListBullet"/>
        <w:spacing w:after="50" w:line="252" w:lineRule="auto"/>
        <w:widowControl/>
      </w:pPr>
      <w:r>
        <w:rPr>
          <w:rFonts w:ascii="Aptos" w:hAnsi="Aptos"/>
          <w:sz w:val="20"/>
        </w:rPr>
        <w:t>A finalized Player Comparison matcher/estimand framework.</w:t>
      </w:r>
    </w:p>
    <w:p>
      <w:pPr>
        <w:pStyle w:val="ListBullet"/>
        <w:spacing w:after="50" w:line="252" w:lineRule="auto"/>
        <w:widowControl/>
      </w:pPr>
      <w:r>
        <w:rPr>
          <w:rFonts w:ascii="Aptos" w:hAnsi="Aptos"/>
          <w:sz w:val="20"/>
        </w:rPr>
        <w:t>A training-resource/practice registry integrated into the player product.</w:t>
      </w:r>
    </w:p>
    <w:p>
      <w:pPr>
        <w:pStyle w:val="ListBullet"/>
        <w:spacing w:after="50" w:line="252" w:lineRule="auto"/>
        <w:widowControl/>
      </w:pPr>
      <w:r>
        <w:rPr>
          <w:rFonts w:ascii="Aptos" w:hAnsi="Aptos"/>
          <w:sz w:val="20"/>
        </w:rPr>
        <w:t>That human-review findings from one owner/user generalize to a broader usability population.</w:t>
      </w:r>
    </w:p>
    <w:p>
      <w:pPr>
        <w:pStyle w:val="ListBullet"/>
        <w:spacing w:after="50" w:line="252" w:lineRule="auto"/>
        <w:widowControl/>
      </w:pPr>
      <w:r>
        <w:rPr>
          <w:rFonts w:ascii="Aptos" w:hAnsi="Aptos"/>
          <w:sz w:val="20"/>
        </w:rPr>
        <w:t>That current V4 proposals improve user outcomes; they are design responses to observed issues, not validated interventions.</w:t>
      </w:r>
    </w:p>
    <w:p>
      <w:pPr>
        <w:widowControl/>
      </w:pPr>
      <w:r>
        <w:br w:type="page"/>
      </w:r>
    </w:p>
    <w:p>
      <w:pPr>
        <w:pStyle w:val="Heading1"/>
        <w:keepNext/>
        <w:spacing w:before="200" w:after="100"/>
        <w:widowControl/>
      </w:pPr>
      <w:r>
        <w:rPr>
          <w:rFonts w:ascii="Aptos" w:hAnsi="Aptos"/>
          <w:b/>
          <w:color w:val="17365D"/>
          <w:sz w:val="32"/>
        </w:rPr>
        <w:t>Appendix A — Condensed chronological milestone register</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Period</w:t>
            </w:r>
          </w:p>
        </w:tc>
        <w:tc>
          <w:tcPr>
            <w:tcW w:type="dxa" w:w="453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Work</w:t>
            </w:r>
          </w:p>
        </w:tc>
        <w:tc>
          <w:tcPr>
            <w:tcW w:type="dxa" w:w="42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Outcome/transition</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Pre-Stage</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Early parser + AI coaching experiments; creator transcript curriculum; target-centric extraction.</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Established initial coaching concepts and exposed identity/round/missingness/telemetry problems.</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1</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v6 all-player; v7/v7.7 richer evidence; large corpus; clean coach; longitudinal batches.</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Measurement instrument and source capability became central; tendency/lifecycle concept emerged.</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2</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12E–12J spatial/historical asset work; AWPy/NAV/VPhys/collision/provenance.</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Historical/spatial exactness separated from tactical meaning.</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3 M0–M8</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Profiling, vectorization, canonical aggregation, spatial screening, integrity repairs, neutral packets.</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Evidence plane became fast/mechanically trustworthy under tested scope.</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Post-M8 pilot</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24 packets / 237 situations across two demos; coaching response judged poor.</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Located synthesis/learning boundary.</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M10.x</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Opening/flash/connectivity deterministic families, calibration, provenance/LOS ablation.</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Plane C became a real statistics/promotion engine.</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M11.x</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Replication/no-plan tests; policy gap; internal recurrence/lifecycle policy.</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Peer unusualness no longer universal gate; one qualified internal family moved to Plane D.</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M12.0–12.1</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Bounded connectivity evidence expansion; first active priority “Connect your next fight.”</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First complete bounded learning-loop lineage.</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M12.2–12.3</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Replay viewer + UX patch; radar provenance unresolved.</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Viewer as presentation, not evidence; schematic fallback preserved.</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M13</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Spatial ablation hit UNKNOWN-coercion failure.</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Spatial line paused rather than weakening semantics.</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R1 / ScaleCache</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Local report/replay slice; 251-demo cache benchmark.</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Local-first product feasibility and decode-once reuse demonstrated.</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AnalysisPack / FaZe reference</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Multi-mode shared core; comparison/strategy diagnostics; rich human stratbook reference.</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Mode-specific semantics and hierarchical strategy representation clarified.</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v3.0 → v3.1</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Platform broadening + consultant cycle + bias-control reconsideration.</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v3.1 adopted as active baseline; methods not earned by evidence left unfrozen.</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V3-A / E0</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Contract freeze + correctness diagnostic.</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Core semantic contracts and overlap diagnostics established.</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V3-B / B2</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Shared core then semantic/storage repair.</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v0.2 core; ~96.65% storage reduction; correct first event anchors.</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V3-C1</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Report-first schematic shell.</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Integration worked; UX issues surfaced.</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V3-D1</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Deterministic Player Study pack.</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Player-facing descriptive slice with selected situations.</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V3-D2</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Two-mode AnalysisPack boundary + AI validator.</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Thin pack boundary frozen; AI claim/numeric boundary explicit.</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V3-D3M</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Five independent fresh-chat interpretation runs.</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Structural AI reliability passed; human usefulness still separate.</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V3-D4 / D4.1</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AI prose integration + metric UX review/repair.</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Technical correctness separated from comprehension/actionability.</w:t>
            </w:r>
          </w:p>
        </w:tc>
      </w:tr>
      <w:tr>
        <w:tc>
          <w:tcPr>
            <w:tcW w:type="dxa" w:w="165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D4.2 prepared</w:t>
            </w:r>
          </w:p>
        </w:tc>
        <w:tc>
          <w:tcPr>
            <w:tcW w:type="dxa" w:w="453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Event-context overlap + presentation component registry experiment.</w:t>
            </w:r>
          </w:p>
        </w:tc>
        <w:tc>
          <w:tcPr>
            <w:tcW w:type="dxa" w:w="42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Designed to test purposeful evidence, standardized controls and map/side filters; result pending.</w:t>
            </w:r>
          </w:p>
        </w:tc>
      </w:tr>
      <w:tr>
        <w:tc>
          <w:tcPr>
            <w:tcW w:type="dxa" w:w="165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V4 draft</w:t>
            </w:r>
          </w:p>
        </w:tc>
        <w:tc>
          <w:tcPr>
            <w:tcW w:type="dxa" w:w="453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Analyst Desk + TeachingMoment + composition/module/report-bundle architecture.</w:t>
            </w:r>
          </w:p>
        </w:tc>
        <w:tc>
          <w:tcPr>
            <w:tcW w:type="dxa" w:w="42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Current forward-looking design; not frozen.</w:t>
            </w:r>
          </w:p>
        </w:tc>
      </w:tr>
    </w:tbl>
    <w:p>
      <w:pPr>
        <w:spacing w:after="20"/>
        <w:widowControl/>
      </w:pPr>
    </w:p>
    <w:p>
      <w:pPr>
        <w:pStyle w:val="Heading1"/>
        <w:keepNext/>
        <w:spacing w:before="200" w:after="100"/>
        <w:widowControl/>
      </w:pPr>
      <w:r>
        <w:rPr>
          <w:rFonts w:ascii="Aptos" w:hAnsi="Aptos"/>
          <w:b/>
          <w:color w:val="17365D"/>
          <w:sz w:val="32"/>
        </w:rPr>
        <w:t>Appendix B — Candidate V4 module inventory (not frozen)</w:t>
      </w:r>
    </w:p>
    <w:p>
      <w:pPr>
        <w:pStyle w:val="Heading2"/>
        <w:keepNext/>
        <w:spacing w:before="140" w:after="100"/>
        <w:widowControl/>
      </w:pPr>
      <w:r>
        <w:rPr>
          <w:rFonts w:ascii="Aptos" w:hAnsi="Aptos"/>
          <w:b/>
          <w:color w:val="1F4E79"/>
          <w:sz w:val="26"/>
        </w:rPr>
        <w:t>Analyst</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AnalystFindingWorkbench</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Canonical analytical finding card: support, scope, interpretation, alternatives, counterexamples and deep-evidence requests.</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STANDARD</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CORE_V4_FAMILY</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OpportunityDenominatorExplorer</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Expose opportunity predicate, known denominator, UNKNOWN coverage and independent-unit counts.</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STANDARD</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UncertaintyPanel</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Intervals/shrinkage/holdout/multiplicity information appropriate for analyst users.</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RATE, CONTEXT_GRID, LONGITUDINAL</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CounterexamplePanel</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 PLAYER_STUDY</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counterexamples that bound a finding; player variant only when pedagogically useful.</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ANALYST_LIST, PLAYER_CONTRAST</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AlternativeHypothesesPanel</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Keep plausible mechanisms/alternatives separate from observed claims.</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STANDARD</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CapabilityCoverageMatrix</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AVAILABLE_VALIDATED / LIMITED / UNAVAILABLE / UNKNOWN by capability and scope.</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COMPACT, FULL</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SelectionLedgerPanel</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Expose discovery/selection/multiplicity/holdout governance for searching analyses.</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STANDARD</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ProvenancePanel</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Source hashes, schema/algorithm versions and upstream evidence references.</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SUMMARY, FULL</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DataQualityPanel</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Demo/round exclusions, limited sources and parsing/reconstruction quality.</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SUMMARY, FULL</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bl>
    <w:p>
      <w:pPr>
        <w:spacing w:after="20"/>
        <w:widowControl/>
      </w:pPr>
    </w:p>
    <w:p>
      <w:pPr>
        <w:pStyle w:val="Heading2"/>
        <w:keepNext/>
        <w:spacing w:before="140" w:after="100"/>
        <w:widowControl/>
      </w:pPr>
      <w:r>
        <w:rPr>
          <w:rFonts w:ascii="Aptos" w:hAnsi="Aptos"/>
          <w:b/>
          <w:color w:val="1F4E79"/>
          <w:sz w:val="26"/>
        </w:rPr>
        <w:t>Comparison</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SelfPeriodContrast</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Compare player to their own prior study/epoch with metric-version compatibility.</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SIDE_BY_SIDE, DELTA</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ReferenceContrast</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Contrast self with independently scoped reference evidence without grading or scalar compatibility scores.</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PRO_REFERENCE, PEER_CONTEXT, SELF_MODEL_GOOD</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RESEARCH_BETA</w:t>
            </w:r>
          </w:p>
        </w:tc>
      </w:tr>
    </w:tbl>
    <w:p>
      <w:pPr>
        <w:spacing w:after="20"/>
        <w:widowControl/>
      </w:pPr>
    </w:p>
    <w:p>
      <w:pPr>
        <w:pStyle w:val="Heading2"/>
        <w:keepNext/>
        <w:spacing w:before="140" w:after="100"/>
        <w:widowControl/>
      </w:pPr>
      <w:r>
        <w:rPr>
          <w:rFonts w:ascii="Aptos" w:hAnsi="Aptos"/>
          <w:b/>
          <w:color w:val="1F4E79"/>
          <w:sz w:val="26"/>
        </w:rPr>
        <w:t>Evidence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SituationContrast</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Pair or group deliberately selected situations and state why each was chosen.</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TYPICAL_VS_GOOD, WIN_VS_LOSS, BEFORE_VS_AFTER, SELF_VS_REFERENCE</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EvidenceCarousel</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Bounded set of examples for one finding when sequential inspection is better than simultaneous comparison.</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THREE_TO_SIX</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bl>
    <w:p>
      <w:pPr>
        <w:spacing w:after="20"/>
        <w:widowControl/>
      </w:pPr>
    </w:p>
    <w:p>
      <w:pPr>
        <w:pStyle w:val="Heading2"/>
        <w:keepNext/>
        <w:spacing w:before="140" w:after="100"/>
        <w:widowControl/>
      </w:pPr>
      <w:r>
        <w:rPr>
          <w:rFonts w:ascii="Aptos" w:hAnsi="Aptos"/>
          <w:b/>
          <w:color w:val="1F4E79"/>
          <w:sz w:val="26"/>
        </w:rPr>
        <w:t>Longitudinal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PreviousStudyReview</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Summarize previous focus and deterministic improvement/regression/maintenance.</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PLAYER_SUMMARY, ANALYST_DELTA</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TrendSeries</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metric/finding evolution across studies or epochs.</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PLAYER_SIMPLE, ANALYST_INTERVALS</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ProgressDelta</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Previous vs current comparison with compatibility/version gate.</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SINGLE_FINDING, MULTI_FINDING</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bl>
    <w:p>
      <w:pPr>
        <w:spacing w:after="20"/>
        <w:widowControl/>
      </w:pPr>
    </w:p>
    <w:p>
      <w:pPr>
        <w:pStyle w:val="Heading2"/>
        <w:keepNext/>
        <w:spacing w:before="140" w:after="100"/>
        <w:widowControl/>
      </w:pPr>
      <w:r>
        <w:rPr>
          <w:rFonts w:ascii="Aptos" w:hAnsi="Aptos"/>
          <w:b/>
          <w:color w:val="1F4E79"/>
          <w:sz w:val="26"/>
        </w:rPr>
        <w:t>Narrative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FindingSummary</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Explain one qualified finding at the correct audience level.</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PLAYER_PLAIN, ANALYST_TECHNICAL</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PlayerTakeaway</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Close a Teaching Moment with what the player should retain.</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ACTIONABLE, CONTEXTUAL, WATCH_ONLY, KEEP_DOING</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ScopeContext</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State where/when a claim applies without implementation jargon.</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INLINE, CARD</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LimitationNote</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Expose meaningful UNKNOWN or evidence limits near the affected claim.</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PLAYER_PLAIN, ANALYST_DETAILED</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bl>
    <w:p>
      <w:pPr>
        <w:spacing w:after="20"/>
        <w:widowControl/>
      </w:pPr>
    </w:p>
    <w:p>
      <w:pPr>
        <w:pStyle w:val="Heading2"/>
        <w:keepNext/>
        <w:spacing w:before="140" w:after="100"/>
        <w:widowControl/>
      </w:pPr>
      <w:r>
        <w:rPr>
          <w:rFonts w:ascii="Aptos" w:hAnsi="Aptos"/>
          <w:b/>
          <w:color w:val="1F4E79"/>
          <w:sz w:val="26"/>
        </w:rPr>
        <w:t>Quantitative</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MetricPair</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Pair opportunity/involvement frequency with outcome conditional on involvement.</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PLAIN_PLAYER, ANALYST_WITH_UNCERTAINTY</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IMPLEMENTED_LINEAGE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MetricCluster</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a small coherent family of related measures when they jointly teach one point.</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TWO, THREE, FOUR</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ContextBreakdown</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Break a finding down by map, side, epoch or another predeclared context.</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MAP_SIDE, EPOCH, CUSTOM_PREDECLARED</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OutcomeFunnel</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opportunity -&gt; involvement -&gt; outcome where denominators nest cleanly.</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PLAYER_SIMPLE, ANALYST_DETAILED</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DistributionView</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 PLAYER_STUDY</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shape/spread where averages hide useful context.</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PLAYER_SIMPLIFIED, ANALYST_HISTOGRAM, ANALYST_ECDF</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SmallMultipleContext</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 PLAYER_STUDY</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Repeat one stable visual across maps/sides/epochs for comparable context.</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MAP, SIDE, EPOCH</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bl>
    <w:p>
      <w:pPr>
        <w:spacing w:after="20"/>
        <w:widowControl/>
      </w:pPr>
    </w:p>
    <w:p>
      <w:pPr>
        <w:pStyle w:val="Heading2"/>
        <w:keepNext/>
        <w:spacing w:before="140" w:after="100"/>
        <w:widowControl/>
      </w:pPr>
      <w:r>
        <w:rPr>
          <w:rFonts w:ascii="Aptos" w:hAnsi="Aptos"/>
          <w:b/>
          <w:color w:val="1F4E79"/>
          <w:sz w:val="26"/>
        </w:rPr>
        <w:t>Relational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RelationshipMatrix</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overlap/relationship between two categorical event families without misleading subtraction.</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TWO_BY_TWO, MULTI_STATE</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IMPLEMENTED_LINEAGE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RelationshipMap</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Focus player + relevant teammate/opponent relationship spatially.</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TEAMMATE_CONNECTIVITY, TRADE_FOLLOWUP, LOCAL_NUMBERS</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CAPABILITY_GATED</w:t>
            </w:r>
          </w:p>
        </w:tc>
      </w:tr>
    </w:tbl>
    <w:p>
      <w:pPr>
        <w:spacing w:after="20"/>
        <w:widowControl/>
      </w:pPr>
    </w:p>
    <w:p>
      <w:pPr>
        <w:pStyle w:val="Heading2"/>
        <w:keepNext/>
        <w:spacing w:before="140" w:after="100"/>
        <w:widowControl/>
      </w:pPr>
      <w:r>
        <w:rPr>
          <w:rFonts w:ascii="Aptos" w:hAnsi="Aptos"/>
          <w:b/>
          <w:color w:val="1F4E79"/>
          <w:sz w:val="26"/>
        </w:rPr>
        <w:t>Shell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StudyCoverageStrip</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Compact study scope and data-receipt trust strip.</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PLAYER_COMPACT, ANALYST_DETAILED</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ReportHeader</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Stable report identity, study window, player/team identity and report version.</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 ANALYST</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StudyAgenda</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Short preview of the concepts the coach will cover.</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COMPACT</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StudySummary</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Bottom-of-report memory aid: covered concepts, improvement/regression, watch items and next re-test.</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STANDARD</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DownloadsMethodologyFooter</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Stable export and methodology footer with schema/version metadata.</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 ANALYST</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bl>
    <w:p>
      <w:pPr>
        <w:spacing w:after="20"/>
        <w:widowControl/>
      </w:pPr>
    </w:p>
    <w:p>
      <w:pPr>
        <w:pStyle w:val="Heading2"/>
        <w:keepNext/>
        <w:spacing w:before="140" w:after="100"/>
        <w:widowControl/>
      </w:pPr>
      <w:r>
        <w:rPr>
          <w:rFonts w:ascii="Aptos" w:hAnsi="Aptos"/>
          <w:b/>
          <w:color w:val="1F4E79"/>
          <w:sz w:val="26"/>
        </w:rPr>
        <w:t>Spatial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Heatmap2D</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Aggregate spatial density for a predeclared event/opportunity family.</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EVENT_DENSITY, OUTCOME_SPLIT, CONTEXT_COMPARE</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CAPABILITY_GATED</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RouteOverlay</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Selected route/trajectory evidence; never corpus-wide by default.</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SINGLE, CONTRAST, PATTERN_GHOSTED</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CAPABILITY_GATED</w:t>
            </w:r>
          </w:p>
        </w:tc>
      </w:tr>
    </w:tbl>
    <w:p>
      <w:pPr>
        <w:spacing w:after="20"/>
        <w:widowControl/>
      </w:pPr>
    </w:p>
    <w:p>
      <w:pPr>
        <w:pStyle w:val="Heading2"/>
        <w:keepNext/>
        <w:spacing w:before="140" w:after="100"/>
        <w:widowControl/>
      </w:pPr>
      <w:r>
        <w:rPr>
          <w:rFonts w:ascii="Aptos" w:hAnsi="Aptos"/>
          <w:b/>
          <w:color w:val="1F4E79"/>
          <w:sz w:val="26"/>
        </w:rPr>
        <w:t>Team Strategy</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RouteSequence</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 TEAM_STUDY, OPPONENT_STUDY</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Semantic route sequence representation for selected rounds/families.</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SINGLE, FAMILY_COMPARE</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RESEARCH_BETA</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OpeningShapeMap</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 TEAM_STUDY, OPPONENT_STUDY</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Observed early-round team shape/paths without claiming intent.</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SINGLE, FAMILY_OVERLAY</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RESEARCH_BETA</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BranchTree</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 TEAM_STUDY, OPPONENT_STUDY</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Inferred transition/finish branches with explicit inference status.</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ANALYST_ONLY</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RESEARCH_ONLY</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ResponsibilityMatrix</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ANALYST_DESK, TEAM_STUDY</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Contextual responsibilities only when independently supported.</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OBSERVED_ASSOCIATION, HUMAN_VALIDATED_ROLE</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RESEARCH_ONLY</w:t>
            </w:r>
          </w:p>
        </w:tc>
      </w:tr>
    </w:tbl>
    <w:p>
      <w:pPr>
        <w:spacing w:after="20"/>
        <w:widowControl/>
      </w:pPr>
    </w:p>
    <w:p>
      <w:pPr>
        <w:pStyle w:val="Heading2"/>
        <w:keepNext/>
        <w:spacing w:before="140" w:after="100"/>
        <w:widowControl/>
      </w:pPr>
      <w:r>
        <w:rPr>
          <w:rFonts w:ascii="Aptos" w:hAnsi="Aptos"/>
          <w:b/>
          <w:color w:val="1F4E79"/>
          <w:sz w:val="26"/>
        </w:rPr>
        <w:t>Temporal</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EventTimeline</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Human-time or semantic-event sequence for one selected round/situation.</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SEMANTIC_ANCHORS, HUMAN_TIME_WHEN_VALIDATED</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RoundStateStrip</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Compact alive/bomb/economy/score context around a selected situation.</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COMPACT, ANALYST_EXPANDED</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V4_CANDIDATE</w:t>
            </w:r>
          </w:p>
        </w:tc>
      </w:tr>
    </w:tbl>
    <w:p>
      <w:pPr>
        <w:spacing w:after="20"/>
        <w:widowControl/>
      </w:pPr>
    </w:p>
    <w:p>
      <w:pPr>
        <w:pStyle w:val="Heading2"/>
        <w:keepNext/>
        <w:spacing w:before="140" w:after="100"/>
        <w:widowControl/>
      </w:pPr>
      <w:r>
        <w:rPr>
          <w:rFonts w:ascii="Aptos" w:hAnsi="Aptos"/>
          <w:b/>
          <w:color w:val="1F4E79"/>
          <w:sz w:val="26"/>
        </w:rPr>
        <w:t>Utility</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UtilityImpactMap</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utility detonation/impact in map context when exact capability exists.</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FLASH, HE_MOLOTOV, SMOKE, MULTI_UTILITY</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CAPABILITY_GATED</w:t>
            </w:r>
          </w:p>
        </w:tc>
      </w:tr>
      <w:tr>
        <w:tc>
          <w:tcPr>
            <w:tcW w:type="dxa" w:w="20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UtilitySequence</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 TEAM_STUDY</w:t>
            </w:r>
          </w:p>
        </w:tc>
        <w:tc>
          <w:tcPr>
            <w:tcW w:type="dxa" w:w="367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Ordered utility events tied to a situation or team sequence.</w:t>
            </w:r>
          </w:p>
        </w:tc>
        <w:tc>
          <w:tcPr>
            <w:tcW w:type="dxa" w:w="194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ROUND_SEQUENCE, EXECUTE_SEQUENCE, DEFENSIVE_SEQUENCE</w:t>
            </w:r>
          </w:p>
        </w:tc>
        <w:tc>
          <w:tcPr>
            <w:tcW w:type="dxa" w:w="129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CAPABILITY_GATED</w:t>
            </w:r>
          </w:p>
        </w:tc>
      </w:tr>
    </w:tbl>
    <w:p>
      <w:pPr>
        <w:spacing w:after="20"/>
        <w:widowControl/>
      </w:pPr>
    </w:p>
    <w:p>
      <w:pPr>
        <w:pStyle w:val="Heading2"/>
        <w:keepNext/>
        <w:spacing w:before="140" w:after="100"/>
        <w:widowControl/>
      </w:pPr>
      <w:r>
        <w:rPr>
          <w:rFonts w:ascii="Aptos" w:hAnsi="Aptos"/>
          <w:b/>
          <w:color w:val="1F4E79"/>
          <w:sz w:val="26"/>
        </w:rPr>
        <w:t>Viewer</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0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Module family</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Audience</w:t>
            </w:r>
          </w:p>
        </w:tc>
        <w:tc>
          <w:tcPr>
            <w:tcW w:type="dxa" w:w="367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194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Candidate configs</w:t>
            </w:r>
          </w:p>
        </w:tc>
        <w:tc>
          <w:tcPr>
            <w:tcW w:type="dxa" w:w="129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Status</w:t>
            </w:r>
          </w:p>
        </w:tc>
      </w:tr>
      <w:tr>
        <w:tc>
          <w:tcPr>
            <w:tcW w:type="dxa" w:w="20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Viewer2D</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PLAYER_STUDY, ANALYST_DESK</w:t>
            </w:r>
          </w:p>
        </w:tc>
        <w:tc>
          <w:tcPr>
            <w:tcW w:type="dxa" w:w="367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Parent family for deterministic spatial teaching/evidence views.</w:t>
            </w:r>
          </w:p>
        </w:tc>
        <w:tc>
          <w:tcPr>
            <w:tcW w:type="dxa" w:w="194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SINGLE_SITUATION, TWO_SITUATION_COMPARE, SELF_GOOD_VS_TYPICAL, BEFORE_AFTER_SAME_ROUND, SEQUENCE, PATTERN_OVERLAY, FOCUSED_RELATIONSHIP, UTILITY_CONTEXT, BOMB_CONTEXT, REFERENCE_CONTRAST</w:t>
            </w:r>
          </w:p>
        </w:tc>
        <w:tc>
          <w:tcPr>
            <w:tcW w:type="dxa" w:w="129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CORE_V4_FAMILY</w:t>
            </w:r>
          </w:p>
        </w:tc>
      </w:tr>
    </w:tbl>
    <w:p>
      <w:pPr>
        <w:spacing w:after="20"/>
        <w:widowControl/>
      </w:pPr>
    </w:p>
    <w:p>
      <w:pPr>
        <w:pStyle w:val="Heading2"/>
        <w:keepNext/>
        <w:spacing w:before="140" w:after="100"/>
        <w:widowControl/>
      </w:pPr>
      <w:r>
        <w:rPr>
          <w:rFonts w:ascii="Aptos" w:hAnsi="Aptos"/>
          <w:b/>
          <w:color w:val="1F4E79"/>
          <w:sz w:val="26"/>
        </w:rPr>
        <w:t>Viewer2D candidate configurations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37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Configuration</w:t>
            </w:r>
          </w:p>
        </w:tc>
        <w:tc>
          <w:tcPr>
            <w:tcW w:type="dxa" w:w="288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Purpose</w:t>
            </w:r>
          </w:p>
        </w:tc>
        <w:tc>
          <w:tcPr>
            <w:tcW w:type="dxa" w:w="288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Evidence contract</w:t>
            </w:r>
          </w:p>
        </w:tc>
        <w:tc>
          <w:tcPr>
            <w:tcW w:type="dxa" w:w="252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4"/>
              </w:rPr>
              <w:t>PDF fallback concept</w:t>
            </w:r>
          </w:p>
        </w:tc>
      </w:tr>
      <w:tr>
        <w:tc>
          <w:tcPr>
            <w:tcW w:type="dxa" w:w="23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SINGLE_SITUATION</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Teach or inspect one situation</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1 selected ReplayFrameSeries</w:t>
            </w:r>
          </w:p>
        </w:tc>
        <w:tc>
          <w:tcPr>
            <w:tcW w:type="dxa" w:w="252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one or two representative static frames</w:t>
            </w:r>
          </w:p>
        </w:tc>
      </w:tr>
      <w:tr>
        <w:tc>
          <w:tcPr>
            <w:tcW w:type="dxa" w:w="237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TWO_SITUATION_COMPARE</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Side-by-side comparison</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2 comparable situation refs</w:t>
            </w:r>
          </w:p>
        </w:tc>
        <w:tc>
          <w:tcPr>
            <w:tcW w:type="dxa" w:w="252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two synchronized static frames</w:t>
            </w:r>
          </w:p>
        </w:tc>
      </w:tr>
      <w:tr>
        <w:tc>
          <w:tcPr>
            <w:tcW w:type="dxa" w:w="23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SELF_GOOD_VS_TYPICAL</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Teach an alternative using the player's own evidence</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1 typical + 1 self-model-good contrast</w:t>
            </w:r>
          </w:p>
        </w:tc>
        <w:tc>
          <w:tcPr>
            <w:tcW w:type="dxa" w:w="252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paired annotated frames</w:t>
            </w:r>
          </w:p>
        </w:tc>
      </w:tr>
      <w:tr>
        <w:tc>
          <w:tcPr>
            <w:tcW w:type="dxa" w:w="237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BEFORE_AFTER_SAME_ROUND</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state transition without causal overclaim</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2 observed anchors in same round</w:t>
            </w:r>
          </w:p>
        </w:tc>
        <w:tc>
          <w:tcPr>
            <w:tcW w:type="dxa" w:w="252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before/after pair</w:t>
            </w:r>
          </w:p>
        </w:tc>
      </w:tr>
      <w:tr>
        <w:tc>
          <w:tcPr>
            <w:tcW w:type="dxa" w:w="23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SEQUENCE</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temporal progression</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ordered ReplayFrameSeries anchors/frames</w:t>
            </w:r>
          </w:p>
        </w:tc>
        <w:tc>
          <w:tcPr>
            <w:tcW w:type="dxa" w:w="252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3-4 keyframes</w:t>
            </w:r>
          </w:p>
        </w:tc>
      </w:tr>
      <w:tr>
        <w:tc>
          <w:tcPr>
            <w:tcW w:type="dxa" w:w="237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PATTERN_OVERLAY</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Illustrate recurrence visually only</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multiple comparable route/position examples</w:t>
            </w:r>
          </w:p>
        </w:tc>
        <w:tc>
          <w:tcPr>
            <w:tcW w:type="dxa" w:w="252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static ghost overlay</w:t>
            </w:r>
          </w:p>
        </w:tc>
      </w:tr>
      <w:tr>
        <w:tc>
          <w:tcPr>
            <w:tcW w:type="dxa" w:w="23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FOCUSED_RELATIONSHIP</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Reduce clutter to relationship under discussion</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focal + relevant player relationship</w:t>
            </w:r>
          </w:p>
        </w:tc>
        <w:tc>
          <w:tcPr>
            <w:tcW w:type="dxa" w:w="252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focused static map</w:t>
            </w:r>
          </w:p>
        </w:tc>
      </w:tr>
      <w:tr>
        <w:tc>
          <w:tcPr>
            <w:tcW w:type="dxa" w:w="237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UTILITY_CONTEXT</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utility relative to players/objective</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validated utility event/trajectory capability</w:t>
            </w:r>
          </w:p>
        </w:tc>
        <w:tc>
          <w:tcPr>
            <w:tcW w:type="dxa" w:w="252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map snapshot + compact sequence</w:t>
            </w:r>
          </w:p>
        </w:tc>
      </w:tr>
      <w:tr>
        <w:tc>
          <w:tcPr>
            <w:tcW w:type="dxa" w:w="237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BOMB_CONTEXT</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Show objective context</w:t>
            </w:r>
          </w:p>
        </w:tc>
        <w:tc>
          <w:tcPr>
            <w:tcW w:type="dxa" w:w="288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validated bomb timeline/plant position</w:t>
            </w:r>
          </w:p>
        </w:tc>
        <w:tc>
          <w:tcPr>
            <w:tcW w:type="dxa" w:w="252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objective-state snapshot</w:t>
            </w:r>
          </w:p>
        </w:tc>
      </w:tr>
      <w:tr>
        <w:tc>
          <w:tcPr>
            <w:tcW w:type="dxa" w:w="237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REFERENCE_CONTRAST</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Contextual contrast without grading</w:t>
            </w:r>
          </w:p>
        </w:tc>
        <w:tc>
          <w:tcPr>
            <w:tcW w:type="dxa" w:w="288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self + independently scoped reference situations</w:t>
            </w:r>
          </w:p>
        </w:tc>
        <w:tc>
          <w:tcPr>
            <w:tcW w:type="dxa" w:w="252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4"/>
              </w:rPr>
              <w:t>paired reference frames</w:t>
            </w:r>
          </w:p>
        </w:tc>
      </w:tr>
    </w:tbl>
    <w:p>
      <w:pPr>
        <w:spacing w:after="20"/>
        <w:widowControl/>
      </w:pPr>
    </w:p>
    <w:p>
      <w:pPr>
        <w:pStyle w:val="Heading2"/>
        <w:keepNext/>
        <w:spacing w:before="140" w:after="100"/>
        <w:widowControl/>
      </w:pPr>
      <w:r>
        <w:rPr>
          <w:rFonts w:ascii="Aptos" w:hAnsi="Aptos"/>
          <w:b/>
          <w:color w:val="1F4E79"/>
          <w:sz w:val="26"/>
        </w:rPr>
        <w:t>Candidate microcontrols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08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Microcontrol</w:t>
            </w:r>
          </w:p>
        </w:tc>
        <w:tc>
          <w:tcPr>
            <w:tcW w:type="dxa" w:w="460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Purpose</w:t>
            </w:r>
          </w:p>
        </w:tc>
        <w:tc>
          <w:tcPr>
            <w:tcW w:type="dxa" w:w="259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Types</w:t>
            </w:r>
          </w:p>
        </w:tc>
        <w:tc>
          <w:tcPr>
            <w:tcW w:type="dxa" w:w="115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Authority</w:t>
            </w:r>
          </w:p>
        </w:tc>
      </w:tr>
      <w:tr>
        <w:tc>
          <w:tcPr>
            <w:tcW w:type="dxa" w:w="20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InfoDisclosure</w:t>
            </w:r>
          </w:p>
        </w:tc>
        <w:tc>
          <w:tcPr>
            <w:tcW w:type="dxa" w:w="46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Short hover/focus help + click/tap expanded disclosure; keyboard accessible.</w:t>
            </w:r>
          </w:p>
        </w:tc>
        <w:tc>
          <w:tcPr>
            <w:tcW w:type="dxa" w:w="25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WHAT_MEANS, HOW_CALCULATED, WHY_SHOWN, WHY_SELECTED, SCOPE, LIMITATIONS, SOURCE, CONTROLS</w:t>
            </w:r>
          </w:p>
        </w:tc>
        <w:tc>
          <w:tcPr>
            <w:tcW w:type="dxa" w:w="115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renderer</w:t>
            </w:r>
          </w:p>
        </w:tc>
      </w:tr>
      <w:tr>
        <w:tc>
          <w:tcPr>
            <w:tcW w:type="dxa" w:w="20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ContextFilter</w:t>
            </w:r>
          </w:p>
        </w:tc>
        <w:tc>
          <w:tcPr>
            <w:tcW w:type="dxa" w:w="46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Map/side/epoch filter with explicit scope.</w:t>
            </w:r>
          </w:p>
        </w:tc>
        <w:tc>
          <w:tcPr>
            <w:tcW w:type="dxa" w:w="25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REPORT, TEACHING_MOMENT, MODULE</w:t>
            </w:r>
          </w:p>
        </w:tc>
        <w:tc>
          <w:tcPr>
            <w:tcW w:type="dxa" w:w="115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renderer</w:t>
            </w:r>
          </w:p>
        </w:tc>
      </w:tr>
      <w:tr>
        <w:tc>
          <w:tcPr>
            <w:tcW w:type="dxa" w:w="20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AnchorControlBar</w:t>
            </w:r>
          </w:p>
        </w:tc>
        <w:tc>
          <w:tcPr>
            <w:tcW w:type="dxa" w:w="46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Stable semantic event navigation for Viewer2D configurations.</w:t>
            </w:r>
          </w:p>
        </w:tc>
        <w:tc>
          <w:tcPr>
            <w:tcW w:type="dxa" w:w="25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CONFIG_OWNED</w:t>
            </w:r>
          </w:p>
        </w:tc>
        <w:tc>
          <w:tcPr>
            <w:tcW w:type="dxa" w:w="115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renderer</w:t>
            </w:r>
          </w:p>
        </w:tc>
      </w:tr>
      <w:tr>
        <w:tc>
          <w:tcPr>
            <w:tcW w:type="dxa" w:w="20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LayerToggleBar</w:t>
            </w:r>
          </w:p>
        </w:tc>
        <w:tc>
          <w:tcPr>
            <w:tcW w:type="dxa" w:w="46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Show/hide supported visual layers without changing evidence.</w:t>
            </w:r>
          </w:p>
        </w:tc>
        <w:tc>
          <w:tcPr>
            <w:tcW w:type="dxa" w:w="25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CONFIG_OWNED</w:t>
            </w:r>
          </w:p>
        </w:tc>
        <w:tc>
          <w:tcPr>
            <w:tcW w:type="dxa" w:w="115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renderer</w:t>
            </w:r>
          </w:p>
        </w:tc>
      </w:tr>
      <w:tr>
        <w:tc>
          <w:tcPr>
            <w:tcW w:type="dxa" w:w="208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EvidenceBadge</w:t>
            </w:r>
          </w:p>
        </w:tc>
        <w:tc>
          <w:tcPr>
            <w:tcW w:type="dxa" w:w="460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Compact observed/inference/unknown/limited status.</w:t>
            </w:r>
          </w:p>
        </w:tc>
        <w:tc>
          <w:tcPr>
            <w:tcW w:type="dxa" w:w="259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OBSERVED, STRONG_INFERENCE, UNCERTAIN, UNKNOWN, LIMITED</w:t>
            </w:r>
          </w:p>
        </w:tc>
        <w:tc>
          <w:tcPr>
            <w:tcW w:type="dxa" w:w="115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renderer</w:t>
            </w:r>
          </w:p>
        </w:tc>
      </w:tr>
      <w:tr>
        <w:tc>
          <w:tcPr>
            <w:tcW w:type="dxa" w:w="208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ScopeChip</w:t>
            </w:r>
          </w:p>
        </w:tc>
        <w:tc>
          <w:tcPr>
            <w:tcW w:type="dxa" w:w="460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Map/side/epoch/corpus scope label.</w:t>
            </w:r>
          </w:p>
        </w:tc>
        <w:tc>
          <w:tcPr>
            <w:tcW w:type="dxa" w:w="259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CONTEXT</w:t>
            </w:r>
          </w:p>
        </w:tc>
        <w:tc>
          <w:tcPr>
            <w:tcW w:type="dxa" w:w="115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renderer</w:t>
            </w:r>
          </w:p>
        </w:tc>
      </w:tr>
    </w:tbl>
    <w:p>
      <w:pPr>
        <w:spacing w:after="20"/>
        <w:widowControl/>
      </w:pPr>
    </w:p>
    <w:tbl>
      <w:tblPr>
        <w:tblW w:type="auto" w:w="0"/>
        <w:jc w:val="center"/>
        <w:tblLayout w:type="autofit"/>
        <w:tblLook w:firstColumn="1" w:firstRow="1" w:lastColumn="0" w:lastRow="0" w:noHBand="0" w:noVBand="1" w:val="04A0"/>
      </w:tblPr>
      <w:tblGrid>
        <w:gridCol w:w="10080"/>
      </w:tblGrid>
      <w:tr>
        <w:tc>
          <w:tcPr>
            <w:tcW w:type="dxa" w:w="10080"/>
            <w:shd w:fill="FFF2CC"/>
            <w:tcMar>
              <w:top w:w="110" w:type="dxa"/>
              <w:start w:w="120" w:type="dxa"/>
              <w:bottom w:w="110" w:type="dxa"/>
              <w:end w:w="120" w:type="dxa"/>
            </w:tcMar>
            <w:tcBorders>
              <w:top w:val="nil"/>
              <w:left w:val="single" w:sz="18" w:color="BF9000"/>
              <w:bottom w:val="nil"/>
              <w:right w:val="nil"/>
            </w:tcBorders>
          </w:tcPr>
          <w:p>
            <w:r>
              <w:rPr>
                <w:rFonts w:ascii="Aptos" w:hAnsi="Aptos"/>
                <w:b/>
                <w:color w:val="1F4E79"/>
                <w:sz w:val="20"/>
              </w:rPr>
              <w:t>Registry status</w:t>
            </w:r>
          </w:p>
          <w:p>
            <w:pPr>
              <w:spacing w:after="0"/>
            </w:pPr>
            <w:r>
              <w:rPr>
                <w:rFonts w:ascii="Aptos" w:hAnsi="Aptos"/>
                <w:color w:val="263746"/>
                <w:sz w:val="19"/>
              </w:rPr>
              <w:t>Registry status recorded as V4_DESIGN_CANDIDATE_NOT_FROZEN. The inventory is intentionally broader than the proposed first implementation slice.</w:t>
            </w:r>
          </w:p>
        </w:tc>
      </w:tr>
    </w:tbl>
    <w:p>
      <w:pPr>
        <w:spacing w:after="20"/>
        <w:widowControl/>
      </w:pPr>
    </w:p>
    <w:p>
      <w:pPr>
        <w:pStyle w:val="Heading1"/>
        <w:keepNext/>
        <w:spacing w:before="200" w:after="100"/>
        <w:widowControl/>
      </w:pPr>
      <w:r>
        <w:rPr>
          <w:rFonts w:ascii="Aptos" w:hAnsi="Aptos"/>
          <w:b/>
          <w:color w:val="17365D"/>
          <w:sz w:val="32"/>
        </w:rPr>
        <w:t>Appendix C — Current source artifact register</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6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ID</w:t>
            </w:r>
          </w:p>
        </w:tc>
        <w:tc>
          <w:tcPr>
            <w:tcW w:type="dxa" w:w="3816"/>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Artifact(s)</w:t>
            </w:r>
          </w:p>
        </w:tc>
        <w:tc>
          <w:tcPr>
            <w:tcW w:type="dxa" w:w="4824"/>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Role in this record</w:t>
            </w:r>
          </w:p>
        </w:tc>
        <w:tc>
          <w:tcPr>
            <w:tcW w:type="dxa" w:w="1800"/>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5"/>
              </w:rPr>
              <w:t>SHA-256 (first 16)</w:t>
            </w:r>
          </w:p>
        </w:tc>
      </w:tr>
      <w:tr>
        <w:tc>
          <w:tcPr>
            <w:tcW w:type="dxa" w:w="6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S1</w:t>
            </w:r>
          </w:p>
        </w:tc>
        <w:tc>
          <w:tcPr>
            <w:tcW w:type="dxa" w:w="38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DesignV2.1_CURRENT.docx</w:t>
            </w:r>
          </w:p>
        </w:tc>
        <w:tc>
          <w:tcPr>
            <w:tcW w:type="dxa" w:w="48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Master historical + post-M8 architecture; primary Stage 1–3 history and v2.1 lessons.</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055cec1122fd5e05…</w:t>
            </w:r>
          </w:p>
        </w:tc>
      </w:tr>
      <w:tr>
        <w:tc>
          <w:tcPr>
            <w:tcW w:type="dxa" w:w="6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S2</w:t>
            </w:r>
          </w:p>
        </w:tc>
        <w:tc>
          <w:tcPr>
            <w:tcW w:type="dxa" w:w="38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CS2_Demo_Intelligence_Master_Architecture_v3.1_BIAS_CONTROLLED_BASELINE.docx</w:t>
            </w:r>
          </w:p>
        </w:tc>
        <w:tc>
          <w:tcPr>
            <w:tcW w:type="dxa" w:w="48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Active pre-implementation baseline and bias-controlled v3 platform architecture.</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06cd1e1d53dffe36…</w:t>
            </w:r>
          </w:p>
        </w:tc>
      </w:tr>
      <w:tr>
        <w:tc>
          <w:tcPr>
            <w:tcW w:type="dxa" w:w="6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S3</w:t>
            </w:r>
          </w:p>
        </w:tc>
        <w:tc>
          <w:tcPr>
            <w:tcW w:type="dxa" w:w="38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CS2_Demo_Intelligence_Master_Architecture_v4.0_COMPOSITIONAL_REPORTS_DRAFT.docx</w:t>
            </w:r>
          </w:p>
        </w:tc>
        <w:tc>
          <w:tcPr>
            <w:tcW w:type="dxa" w:w="48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Current research-informed V4 proposal; explicitly not frozen.</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ede943792b3639d9…</w:t>
            </w:r>
          </w:p>
        </w:tc>
      </w:tr>
      <w:tr>
        <w:tc>
          <w:tcPr>
            <w:tcW w:type="dxa" w:w="6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S4</w:t>
            </w:r>
          </w:p>
        </w:tc>
        <w:tc>
          <w:tcPr>
            <w:tcW w:type="dxa" w:w="38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V4_External_Pattern_Research_Matrix_v0.1.md</w:t>
            </w:r>
          </w:p>
        </w:tc>
        <w:tc>
          <w:tcPr>
            <w:tcW w:type="dxa" w:w="48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External product-pattern research used by V4; non-authoritative by its own terms.</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95ed44c9dc38def0…</w:t>
            </w:r>
          </w:p>
        </w:tc>
      </w:tr>
      <w:tr>
        <w:tc>
          <w:tcPr>
            <w:tcW w:type="dxa" w:w="6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S5</w:t>
            </w:r>
          </w:p>
        </w:tc>
        <w:tc>
          <w:tcPr>
            <w:tcW w:type="dxa" w:w="38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V4_Presentation_Module_Registry_Candidate_v0.1.json</w:t>
            </w:r>
          </w:p>
        </w:tc>
        <w:tc>
          <w:tcPr>
            <w:tcW w:type="dxa" w:w="48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Candidate module/configuration/microcontrol inventory; not frozen.</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9b3b666c63768ead…</w:t>
            </w:r>
          </w:p>
        </w:tc>
      </w:tr>
      <w:tr>
        <w:tc>
          <w:tcPr>
            <w:tcW w:type="dxa" w:w="6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S6</w:t>
            </w:r>
          </w:p>
        </w:tc>
        <w:tc>
          <w:tcPr>
            <w:tcW w:type="dxa" w:w="38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M113_ai_handoff.json through M123_ai_handoff.json</w:t>
            </w:r>
          </w:p>
        </w:tc>
        <w:tc>
          <w:tcPr>
            <w:tcW w:type="dxa" w:w="48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Stage 4 tendency/coaching/replay milestone decisions.</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w:t>
            </w:r>
          </w:p>
        </w:tc>
      </w:tr>
      <w:tr>
        <w:tc>
          <w:tcPr>
            <w:tcW w:type="dxa" w:w="6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S7</w:t>
            </w:r>
          </w:p>
        </w:tc>
        <w:tc>
          <w:tcPr>
            <w:tcW w:type="dxa" w:w="38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R1_vertical_slice_handoff.json / ScaleCache_handoff.json</w:t>
            </w:r>
          </w:p>
        </w:tc>
        <w:tc>
          <w:tcPr>
            <w:tcW w:type="dxa" w:w="48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Local product and cache/resource feasibility vertical slices.</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4bab5ec1ddccba56…</w:t>
            </w:r>
          </w:p>
        </w:tc>
      </w:tr>
      <w:tr>
        <w:tc>
          <w:tcPr>
            <w:tcW w:type="dxa" w:w="6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S8</w:t>
            </w:r>
          </w:p>
        </w:tc>
        <w:tc>
          <w:tcPr>
            <w:tcW w:type="dxa" w:w="38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V3A contract/golden artifacts; V3B2/C1/D1/D2/D3M/D4/D4.1 handoffs</w:t>
            </w:r>
          </w:p>
        </w:tc>
        <w:tc>
          <w:tcPr>
            <w:tcW w:type="dxa" w:w="48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v3 implementation and product-semantic experiments.</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w:t>
            </w:r>
          </w:p>
        </w:tc>
      </w:tr>
      <w:tr>
        <w:tc>
          <w:tcPr>
            <w:tcW w:type="dxa" w:w="6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S9</w:t>
            </w:r>
          </w:p>
        </w:tc>
        <w:tc>
          <w:tcPr>
            <w:tcW w:type="dxa" w:w="3816"/>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Independent architecture review / assessment artifacts</w:t>
            </w:r>
          </w:p>
        </w:tc>
        <w:tc>
          <w:tcPr>
            <w:tcW w:type="dxa" w:w="4824"/>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Advisory source-level dependency, security, spatial and implementation critiques.</w:t>
            </w:r>
          </w:p>
        </w:tc>
        <w:tc>
          <w:tcPr>
            <w:tcW w:type="dxa" w:w="1800"/>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w:t>
            </w:r>
          </w:p>
        </w:tc>
      </w:tr>
      <w:tr>
        <w:tc>
          <w:tcPr>
            <w:tcW w:type="dxa" w:w="6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S10</w:t>
            </w:r>
          </w:p>
        </w:tc>
        <w:tc>
          <w:tcPr>
            <w:tcW w:type="dxa" w:w="3816"/>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Applicability matrix / FaZe Cache reference / related research artifacts</w:t>
            </w:r>
          </w:p>
        </w:tc>
        <w:tc>
          <w:tcPr>
            <w:tcW w:type="dxa" w:w="4824"/>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Pre-v3 mode applicability and strategy representation feasibility evidence.</w:t>
            </w:r>
          </w:p>
        </w:tc>
        <w:tc>
          <w:tcPr>
            <w:tcW w:type="dxa" w:w="1800"/>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5"/>
              </w:rPr>
              <w:t>—</w:t>
            </w:r>
          </w:p>
        </w:tc>
      </w:tr>
    </w:tbl>
    <w:p>
      <w:pPr>
        <w:spacing w:after="20"/>
        <w:widowControl/>
      </w:pPr>
    </w:p>
    <w:p>
      <w:pPr>
        <w:spacing w:after="100" w:line="259" w:lineRule="auto"/>
        <w:widowControl/>
      </w:pPr>
      <w:r>
        <w:rPr>
          <w:rFonts w:ascii="Aptos" w:hAnsi="Aptos"/>
          <w:i/>
          <w:color w:val="6B7785"/>
          <w:sz w:val="17"/>
        </w:rPr>
        <w:t>Source-register hashes are included only where the named artifact exists as a local file in this working set. Grouped milestone entries may represent multiple artifacts and are not assigned one synthetic hash.</w:t>
      </w:r>
    </w:p>
    <w:p>
      <w:pPr>
        <w:pStyle w:val="Heading1"/>
        <w:keepNext/>
        <w:spacing w:before="200" w:after="100"/>
        <w:widowControl/>
      </w:pPr>
      <w:r>
        <w:rPr>
          <w:rFonts w:ascii="Aptos" w:hAnsi="Aptos"/>
          <w:b/>
          <w:color w:val="17365D"/>
          <w:sz w:val="32"/>
        </w:rPr>
        <w:t>Appendix D — Glossary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Term</w:t>
            </w:r>
          </w:p>
        </w:tc>
        <w:tc>
          <w:tcPr>
            <w:tcW w:type="dxa" w:w="7632"/>
            <w:shd w:fill="D9EAF7"/>
            <w:tcMar>
              <w:top w:w="80" w:type="dxa"/>
              <w:start w:w="90" w:type="dxa"/>
              <w:bottom w:w="80" w:type="dxa"/>
              <w:end w:w="90" w:type="dxa"/>
            </w:tcMar>
            <w:vAlign w:val="center"/>
            <w:tcBorders>
              <w:top w:val="single" w:sz="4" w:color="A6B8C8"/>
              <w:left w:val="single" w:sz="4" w:color="A6B8C8"/>
              <w:bottom w:val="single" w:sz="4" w:color="A6B8C8"/>
              <w:right w:val="single" w:sz="4" w:color="A6B8C8"/>
            </w:tcBorders>
          </w:tcPr>
          <w:p>
            <w:pPr>
              <w:spacing w:after="0"/>
            </w:pPr>
            <w:r>
              <w:rPr>
                <w:rFonts w:ascii="Aptos" w:hAnsi="Aptos"/>
                <w:b/>
                <w:color w:val="17365D"/>
                <w:sz w:val="16"/>
              </w:rPr>
              <w:t>Meaning in the project record</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AnalysisPack</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Thin mode manifest that references evidence, qualification, claim, curriculum, presentation and validation contracts rather than containing all data directly.</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AnalysisRequest / Applicability</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Question/mode request and deterministic gate that determines whether the requested analysis is supported, limited or unsupported for the available evidence.</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AnalystFinding</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V4 candidate object between deterministic analytics and presentation: analytical synthesis, support, scope, alternatives, unknowns, evidence links and teaching assessment.</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Analyst Desk</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Working name for the coach/analyst-facing canonical analytical report/workspace proposed in V4.</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CapabilityManifest</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Versioned record of which evidence capabilities are available/limited/unavailable/unknown for a scope, including provenance and validation profile.</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ClaimRegistry</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Deterministic policy defining allowed claim types and maximum evidence/claim class that AI output may not exceed.</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CoachingPlan</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Persistent learning state for selected coaching priorities, cues, interventions, transfer tests, balancing metrics and lifecycle.</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CompositionPlan / ReportCompositionPlan</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V4 candidate schema-constrained AI output referencing registered modules/configurations/layout primitives but containing no UI implementation code.</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Counterexample</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Observed case that bounds, contradicts or complicates a candidate pattern; retained rather than discarded as noise.</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Evidence class</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Labels such as observed / strong inference / uncertain / unknown/limited used to keep claim strength aligned with evidence.</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InfoDisclosure</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V4 candidate microcomponent for “what/why/how/scope/limitations/source/controls” explanations with accessible interactive and PDF behavior.</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Plane A–E</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v2.1 architecture: validated evidence; deterministic relationships/situations; deterministic tendency stats; AI analyst/mechanism synthesis; learning intervention/player product.</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ReportBundle</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V4 candidate durable package containing structured JSON/PDF outputs, versions, corpus/evidence state, analytical state, teaching state and longitudinal metadata.</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ReplayFrameSeries</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Deterministic selected replay frames/anchors used by teaching viewer; presentation product, not a second evidence engine.</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SituationPacket</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Bounded neutral evidence packet for retrieval/mechanism investigation; explicitly not equivalent to a tendency.</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TeachingCandidate</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V4 candidate finding that has sufficient support/educational value to be considered for player-facing teaching.</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TeachingMoment</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V4 candidate coherent player-facing lesson composed from registered modules/layouts with a teaching objective and takeaway.</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Tendency family</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Predeclared/versioned behavior family with opportunity/outcome predicates, capability requirements, denominator/UNKNOWN/counterexample/lifecycle policy.</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UNKNOWN</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First-class state meaning evidence cannot establish true/false; not silently converted to false or zero.</w:t>
            </w:r>
          </w:p>
        </w:tc>
      </w:tr>
      <w:tr>
        <w:tc>
          <w:tcPr>
            <w:tcW w:type="dxa" w:w="2448"/>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Viewer2D</w:t>
            </w:r>
          </w:p>
        </w:tc>
        <w:tc>
          <w:tcPr>
            <w:tcW w:type="dxa" w:w="7632"/>
            <w:tcMar>
              <w:top w:w="80" w:type="dxa"/>
              <w:start w:w="90" w:type="dxa"/>
              <w:bottom w:w="80" w:type="dxa"/>
              <w:end w:w="90" w:type="dxa"/>
            </w:tcMar>
            <w:shd w:fill="F7F9FB"/>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Parent visual module family for selected situations; configurations are product-owned and capability/provenance gated.</w:t>
            </w:r>
          </w:p>
        </w:tc>
      </w:tr>
      <w:tr>
        <w:tc>
          <w:tcPr>
            <w:tcW w:type="dxa" w:w="2448"/>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Cope Barn</w:t>
            </w:r>
          </w:p>
        </w:tc>
        <w:tc>
          <w:tcPr>
            <w:tcW w:type="dxa" w:w="7632"/>
            <w:tcMar>
              <w:top w:w="80" w:type="dxa"/>
              <w:start w:w="90" w:type="dxa"/>
              <w:bottom w:w="80" w:type="dxa"/>
              <w:end w:w="90" w:type="dxa"/>
            </w:tcMar>
            <w:vAlign w:val="top"/>
            <w:tcBorders>
              <w:top w:val="single" w:sz="3" w:color="D7DFE7"/>
              <w:left w:val="single" w:sz="3" w:color="D7DFE7"/>
              <w:bottom w:val="single" w:sz="3" w:color="D7DFE7"/>
              <w:right w:val="single" w:sz="3" w:color="D7DFE7"/>
            </w:tcBorders>
          </w:tcPr>
          <w:p>
            <w:pPr>
              <w:spacing w:after="0" w:line="240" w:lineRule="auto"/>
            </w:pPr>
            <w:r>
              <w:rPr>
                <w:rFonts w:ascii="Aptos" w:hAnsi="Aptos"/>
                <w:color w:val="263746"/>
                <w:sz w:val="16"/>
              </w:rPr>
              <w:t>Proposed separate entertainment/morale mode with no authority to write serious analysis/coaching state.</w:t>
            </w:r>
          </w:p>
        </w:tc>
      </w:tr>
    </w:tbl>
    <w:p>
      <w:pPr>
        <w:spacing w:after="20"/>
        <w:widowControl/>
      </w:pPr>
    </w:p>
    <w:p>
      <w:pPr>
        <w:pStyle w:val="Heading1"/>
        <w:keepNext/>
        <w:spacing w:before="200" w:after="100"/>
        <w:widowControl/>
      </w:pPr>
      <w:r>
        <w:rPr>
          <w:rFonts w:ascii="Aptos" w:hAnsi="Aptos"/>
          <w:b/>
          <w:color w:val="17365D"/>
          <w:sz w:val="32"/>
        </w:rPr>
        <w:t>Appendix E — Neutral summary of the evolution</w:t>
      </w:r>
    </w:p>
    <w:p>
      <w:pPr>
        <w:spacing w:after="100" w:line="259" w:lineRule="auto"/>
        <w:widowControl/>
      </w:pPr>
      <w:r>
        <w:rPr>
          <w:rFonts w:ascii="Aptos" w:hAnsi="Aptos"/>
          <w:i w:val="0"/>
          <w:sz w:val="21"/>
        </w:rPr>
        <w:t>Viewed from outside the project, the development path can be summarized as a progression of constraints discovered through failure. Stage 1 concentrated on trustworthy measurement and longitudinal context. Stage 2 added spatial evidence while narrowing what geometry could legitimately claim. Stage 3 made the evidence plane faster, more canonical and mechanically auditable, then discovered that trustworthy packets were not equivalent to trustworthy coaching. Stage 4 moved upward through deterministic tendency qualification, bounded learning loops, replay teaching, local product feasibility, multi-mode architecture, AI claim boundaries and finally product semantics/compositional reporting.</w:t>
      </w:r>
    </w:p>
    <w:p>
      <w:pPr>
        <w:spacing w:after="100" w:line="259" w:lineRule="auto"/>
        <w:widowControl/>
      </w:pPr>
      <w:r>
        <w:rPr>
          <w:rFonts w:ascii="Aptos" w:hAnsi="Aptos"/>
          <w:i w:val="0"/>
          <w:sz w:val="21"/>
        </w:rPr>
        <w:t>The current record does not show a finished product architecture. It shows a relatively mature evidence discipline, several working local vertical slices, one bounded internal coaching lineage, a research-grade Player Study lineage, and a new V4 proposal intended to separate analytical truth from player-facing teaching while preserving report consistency. Several technically difficult and product-critical questions remain open, including generalization, human time, real-map provenance/delivery, strategy discovery, comparison matching, module inventory, renderer/PDF choices and longitudinal migration policy.</w:t>
      </w:r>
    </w:p>
    <w:p>
      <w:pPr>
        <w:spacing w:after="100" w:line="259" w:lineRule="auto"/>
        <w:widowControl/>
      </w:pPr>
      <w:r>
        <w:rPr>
          <w:rFonts w:ascii="Aptos" w:hAnsi="Aptos"/>
          <w:i w:val="0"/>
          <w:sz w:val="21"/>
        </w:rPr>
        <w:t>The most persistent design theme is not a particular library or interface. It is the attempt to keep each layer from claiming more than the evidence below it supports, while still allowing later layers enough flexibility to produce useful analysis and teaching. Whether the current V4 composition model achieves that balance remains a future validation question rather than a conclusion of this historical record.</w:t>
      </w:r>
    </w:p>
    <w:sectPr w:rsidR="00FC693F" w:rsidRPr="0006063C" w:rsidSect="00034616">
      <w:headerReference w:type="default" r:id="rId9"/>
      <w:footerReference w:type="default" r:id="rId10"/>
      <w:pgSz w:w="12240" w:h="15840"/>
      <w:pgMar w:top="979"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785"/>
        <w:sz w:val="16"/>
      </w:rPr>
      <w:t xml:space="preserve">Stage 1 → Stage 4 • 28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0"/>
        <w:sz w:val="16"/>
      </w:rPr>
      <w:t>CS2 Demo Intelligence • Descriptive Evolution Record • NOT A DESIGN FREEZE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 Demo Intelligence Platform — Evolution Record: Stage 1 through Stage 4</dc:title>
  <dc:subject>Descriptive historical and architectural synthesis; not a design freeze</dc:subject>
  <dc:creator>Project synthesis</dc:creator>
  <cp:keywords>CS2, demo analysis, coaching, architecture, Stage 1, Stage 2, Stage 3, Stage 4, V4</cp:keywords>
  <dc:description>Generated from project artifacts available as of 28 September 2026.</dc:description>
  <cp:lastModifiedBy/>
  <cp:revision>1</cp:revision>
  <dcterms:created xsi:type="dcterms:W3CDTF">2013-12-23T23:15:00Z</dcterms:created>
  <dcterms:modified xsi:type="dcterms:W3CDTF">2013-12-23T23:15:00Z</dcterms:modified>
  <cp:category/>
</cp:coreProperties>
</file>