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60"/>
      </w:pPr>
      <w:r>
        <w:rPr>
          <w:rFonts w:ascii="Aptos" w:hAnsi="Aptos"/>
          <w:b/>
          <w:color w:val="2F80ED"/>
          <w:sz w:val="26"/>
        </w:rPr>
        <w:t>STAGE 5</w:t>
      </w:r>
    </w:p>
    <w:p>
      <w:pPr>
        <w:pStyle w:val="Title"/>
        <w:spacing w:after="120"/>
      </w:pPr>
      <w:r>
        <w:t>Living Onboarding &amp; Continuity Brief</w:t>
      </w:r>
    </w:p>
    <w:p>
      <w:pPr>
        <w:spacing w:after="360"/>
      </w:pPr>
      <w:r>
        <w:rPr>
          <w:rFonts w:ascii="Aptos" w:hAnsi="Aptos"/>
          <w:b/>
          <w:color w:val="173A5E"/>
          <w:sz w:val="30"/>
        </w:rPr>
        <w:t>CS2 Demo Intelligence Platform</w:t>
      </w:r>
    </w:p>
    <w:tbl>
      <w:tblPr>
        <w:tblW w:type="auto" w:w="0"/>
        <w:jc w:val="center"/>
        <w:tblLayout w:type="autofit"/>
        <w:tblLook w:firstColumn="1" w:firstRow="1" w:lastColumn="0" w:lastRow="0" w:noHBand="0" w:noVBand="1" w:val="04A0"/>
      </w:tblPr>
      <w:tblGrid>
        <w:gridCol w:w="10166"/>
      </w:tblGrid>
      <w:tr>
        <w:tc>
          <w:tcPr>
            <w:tcW w:type="dxa" w:w="10166"/>
            <w:shd w:fill="EAF2FB"/>
            <w:tcMar>
              <w:top w:w="120" w:type="dxa"/>
              <w:start w:w="140" w:type="dxa"/>
              <w:bottom w:w="120" w:type="dxa"/>
              <w:end w:w="140" w:type="dxa"/>
            </w:tcMar>
          </w:tcPr>
          <w:p>
            <w:pPr>
              <w:spacing w:after="60"/>
            </w:pPr>
            <w:r>
              <w:rPr>
                <w:rFonts w:ascii="Aptos" w:hAnsi="Aptos"/>
                <w:b/>
                <w:color w:val="173A5E"/>
                <w:sz w:val="21"/>
              </w:rPr>
              <w:t>PURPOSE</w:t>
            </w:r>
          </w:p>
          <w:p>
            <w:pPr>
              <w:spacing w:after="0" w:line="252" w:lineRule="auto"/>
            </w:pPr>
            <w:r>
              <w:rPr>
                <w:rFonts w:ascii="Aptos" w:hAnsi="Aptos"/>
                <w:b w:val="0"/>
                <w:color w:val="1E2A35"/>
                <w:sz w:val="19"/>
              </w:rPr>
              <w:t>A compact continuity document for a new Stage 5 chat or developer. It records what the product is, what is currently demonstrated, which architecture is authoritative, which V4.1 ideas remain draft, the immediate work path, and the exact update discipline for keeping this handoff current.</w:t>
            </w:r>
          </w:p>
        </w:tc>
      </w:tr>
    </w:tbl>
    <w:p>
      <w:pPr>
        <w:spacing w:after="20"/>
      </w:pPr>
    </w:p>
    <w:tbl>
      <w:tblPr>
        <w:tblStyle w:val="TableGrid"/>
        <w:tblW w:type="auto" w:w="0"/>
        <w:jc w:val="left"/>
        <w:tblLook w:firstColumn="1" w:firstRow="1" w:lastColumn="0" w:lastRow="0" w:noHBand="0" w:noVBand="1" w:val="04A0"/>
      </w:tblPr>
      <w:tblGrid>
        <w:gridCol w:w="5083"/>
        <w:gridCol w:w="5083"/>
      </w:tblGrid>
      <w:tr>
        <w:tc>
          <w:tcPr>
            <w:tcW w:type="dxa" w:w="5083"/>
            <w:tcMar>
              <w:top w:w="80" w:type="dxa"/>
              <w:start w:w="90" w:type="dxa"/>
              <w:bottom w:w="80" w:type="dxa"/>
              <w:end w:w="90" w:type="dxa"/>
            </w:tcMar>
            <w:shd w:fill="E9EFF5"/>
          </w:tcPr>
          <w:p>
            <w:r>
              <w:rPr>
                <w:rFonts w:ascii="Aptos" w:hAnsi="Aptos"/>
                <w:b/>
                <w:color w:val="173A5E"/>
                <w:sz w:val="17"/>
              </w:rPr>
              <w:t>Living document version</w:t>
            </w:r>
          </w:p>
        </w:tc>
        <w:tc>
          <w:tcPr>
            <w:tcW w:type="dxa" w:w="5083"/>
            <w:tcMar>
              <w:top w:w="80" w:type="dxa"/>
              <w:start w:w="90" w:type="dxa"/>
              <w:bottom w:w="80" w:type="dxa"/>
              <w:end w:w="90" w:type="dxa"/>
            </w:tcMar>
          </w:tcPr>
          <w:p>
            <w:r>
              <w:t>1.2 - V4-V1 human UX positive / V4-V2 map dual-pane package prepared</w:t>
            </w:r>
          </w:p>
        </w:tc>
      </w:tr>
      <w:tr>
        <w:tc>
          <w:tcPr>
            <w:tcW w:type="dxa" w:w="5083"/>
            <w:tcMar>
              <w:top w:w="80" w:type="dxa"/>
              <w:start w:w="90" w:type="dxa"/>
              <w:bottom w:w="80" w:type="dxa"/>
              <w:end w:w="90" w:type="dxa"/>
            </w:tcMar>
            <w:shd w:fill="E9EFF5"/>
          </w:tcPr>
          <w:p>
            <w:r>
              <w:rPr>
                <w:rFonts w:ascii="Aptos" w:hAnsi="Aptos"/>
                <w:b/>
                <w:color w:val="173A5E"/>
                <w:sz w:val="17"/>
              </w:rPr>
              <w:t>Prepared</w:t>
            </w:r>
          </w:p>
        </w:tc>
        <w:tc>
          <w:tcPr>
            <w:tcW w:type="dxa" w:w="5083"/>
            <w:tcMar>
              <w:top w:w="80" w:type="dxa"/>
              <w:start w:w="90" w:type="dxa"/>
              <w:bottom w:w="80" w:type="dxa"/>
              <w:end w:w="90" w:type="dxa"/>
            </w:tcMar>
          </w:tcPr>
          <w:p>
            <w:r>
              <w:rPr>
                <w:rFonts w:ascii="Aptos" w:hAnsi="Aptos"/>
                <w:b w:val="0"/>
                <w:color w:val="1E2A35"/>
                <w:sz w:val="17"/>
              </w:rPr>
              <w:t>28 September 2026</w:t>
            </w:r>
          </w:p>
        </w:tc>
      </w:tr>
      <w:tr>
        <w:tc>
          <w:tcPr>
            <w:tcW w:type="dxa" w:w="5083"/>
            <w:tcMar>
              <w:top w:w="80" w:type="dxa"/>
              <w:start w:w="90" w:type="dxa"/>
              <w:bottom w:w="80" w:type="dxa"/>
              <w:end w:w="90" w:type="dxa"/>
            </w:tcMar>
            <w:shd w:fill="E9EFF5"/>
          </w:tcPr>
          <w:p>
            <w:r>
              <w:rPr>
                <w:rFonts w:ascii="Aptos" w:hAnsi="Aptos"/>
                <w:b/>
                <w:color w:val="173A5E"/>
                <w:sz w:val="17"/>
              </w:rPr>
              <w:t>Authoritative architecture</w:t>
            </w:r>
          </w:p>
        </w:tc>
        <w:tc>
          <w:tcPr>
            <w:tcW w:type="dxa" w:w="5083"/>
            <w:tcMar>
              <w:top w:w="80" w:type="dxa"/>
              <w:start w:w="90" w:type="dxa"/>
              <w:bottom w:w="80" w:type="dxa"/>
              <w:end w:w="90" w:type="dxa"/>
            </w:tcMar>
          </w:tcPr>
          <w:p>
            <w:r>
              <w:rPr>
                <w:rFonts w:ascii="Aptos" w:hAnsi="Aptos"/>
                <w:b w:val="0"/>
                <w:color w:val="1E2A35"/>
                <w:sz w:val="17"/>
              </w:rPr>
              <w:t>v3.1 bias-controlled baseline until an explicit owner freeze supersedes it</w:t>
            </w:r>
          </w:p>
        </w:tc>
      </w:tr>
      <w:tr>
        <w:tc>
          <w:tcPr>
            <w:tcW w:type="dxa" w:w="5083"/>
            <w:tcMar>
              <w:top w:w="80" w:type="dxa"/>
              <w:start w:w="90" w:type="dxa"/>
              <w:bottom w:w="80" w:type="dxa"/>
              <w:end w:w="90" w:type="dxa"/>
            </w:tcMar>
            <w:shd w:fill="E9EFF5"/>
          </w:tcPr>
          <w:p>
            <w:r>
              <w:rPr>
                <w:rFonts w:ascii="Aptos" w:hAnsi="Aptos"/>
                <w:b/>
                <w:color w:val="173A5E"/>
                <w:sz w:val="17"/>
              </w:rPr>
              <w:t>Current architecture draft</w:t>
            </w:r>
          </w:p>
        </w:tc>
        <w:tc>
          <w:tcPr>
            <w:tcW w:type="dxa" w:w="5083"/>
            <w:tcMar>
              <w:top w:w="80" w:type="dxa"/>
              <w:start w:w="90" w:type="dxa"/>
              <w:bottom w:w="80" w:type="dxa"/>
              <w:end w:w="90" w:type="dxa"/>
            </w:tcMar>
          </w:tcPr>
          <w:p>
            <w:r>
              <w:rPr>
                <w:rFonts w:ascii="Aptos" w:hAnsi="Aptos"/>
                <w:b w:val="0"/>
                <w:color w:val="1E2A35"/>
                <w:sz w:val="17"/>
              </w:rPr>
              <w:t>v4.1 Control-Plane-Hardened Draft - NON-FROZEN</w:t>
            </w:r>
          </w:p>
        </w:tc>
      </w:tr>
      <w:tr>
        <w:tc>
          <w:tcPr>
            <w:tcW w:type="dxa" w:w="5083"/>
            <w:tcMar>
              <w:top w:w="80" w:type="dxa"/>
              <w:start w:w="90" w:type="dxa"/>
              <w:bottom w:w="80" w:type="dxa"/>
              <w:end w:w="90" w:type="dxa"/>
            </w:tcMar>
            <w:shd w:fill="E9EFF5"/>
          </w:tcPr>
          <w:p>
            <w:r>
              <w:rPr>
                <w:rFonts w:ascii="Aptos" w:hAnsi="Aptos"/>
                <w:b/>
                <w:color w:val="173A5E"/>
                <w:sz w:val="17"/>
              </w:rPr>
              <w:t>V4.1 SHA-256</w:t>
            </w:r>
          </w:p>
        </w:tc>
        <w:tc>
          <w:tcPr>
            <w:tcW w:type="dxa" w:w="5083"/>
            <w:tcMar>
              <w:top w:w="80" w:type="dxa"/>
              <w:start w:w="90" w:type="dxa"/>
              <w:bottom w:w="80" w:type="dxa"/>
              <w:end w:w="90" w:type="dxa"/>
            </w:tcMar>
          </w:tcPr>
          <w:p>
            <w:r>
              <w:rPr>
                <w:rFonts w:ascii="Aptos" w:hAnsi="Aptos"/>
                <w:b w:val="0"/>
                <w:color w:val="1E2A35"/>
                <w:sz w:val="17"/>
              </w:rPr>
              <w:t>c06dd7b132ee402c9552208716e6dfcd487fabe91a9791e081932bee4dbc2464</w:t>
            </w:r>
          </w:p>
        </w:tc>
      </w:tr>
    </w:tbl>
    <w:p>
      <w:pPr>
        <w:spacing w:before="200"/>
      </w:pPr>
      <w:r>
        <w:rPr>
          <w:rFonts w:ascii="Aptos" w:hAnsi="Aptos"/>
          <w:b/>
          <w:color w:val="9C2D2D"/>
          <w:sz w:val="20"/>
        </w:rPr>
        <w:t xml:space="preserve">Stage 5 start rule: </w:t>
      </w:r>
      <w:r>
        <w:rPr>
          <w:rFonts w:ascii="Aptos" w:hAnsi="Aptos"/>
          <w:b w:val="0"/>
          <w:color w:val="1E2A35"/>
          <w:sz w:val="20"/>
        </w:rPr>
        <w:t>read this brief first, then the V4.1 draft, then the Stage 1-4 Evolution Record. Do not infer that a V4.1 proposal is frozen merely because it has a schema name.</w:t>
      </w:r>
    </w:p>
    <w:p>
      <w:r>
        <w:br w:type="page"/>
      </w:r>
    </w:p>
    <w:p>
      <w:pPr>
        <w:pStyle w:val="Heading1"/>
        <w:spacing w:after="80" w:line="259" w:lineRule="auto"/>
      </w:pPr>
      <w:r>
        <w:t>1. Product in one page</w:t>
      </w:r>
    </w:p>
    <w:p>
      <w:pPr>
        <w:spacing w:after="100" w:line="259" w:lineRule="auto"/>
      </w:pPr>
      <w:r>
        <w:t>CS2 Demo Intelligence is a local-first system intended to reconstruct Counter-Strike 2 demos into auditable evidence, derive deterministic analytical relationships, allow bounded AI interpretation, and present the result differently depending on who needs it.</w:t>
      </w:r>
    </w:p>
    <w:p>
      <w:pPr>
        <w:pStyle w:val="ListBullet"/>
        <w:spacing w:after="40" w:line="252" w:lineRule="auto"/>
      </w:pPr>
      <w:r>
        <w:rPr>
          <w:b/>
        </w:rPr>
        <w:t xml:space="preserve">Analyst / coach need: </w:t>
      </w:r>
      <w:r>
        <w:t>a technically rich analytical surface for findings, denominators, context, uncertainty, counterexamples, evidence selection, limitations and follow-up questions.</w:t>
      </w:r>
    </w:p>
    <w:p>
      <w:pPr>
        <w:pStyle w:val="ListBullet"/>
        <w:spacing w:after="40" w:line="252" w:lineRule="auto"/>
      </w:pPr>
      <w:r>
        <w:rPr>
          <w:b/>
        </w:rPr>
        <w:t xml:space="preserve">Player need: </w:t>
      </w:r>
      <w:r>
        <w:t>a teaching-oriented report that selects only what is useful to understand, reinforce, watch or act on, supported by product-owned modules.</w:t>
      </w:r>
    </w:p>
    <w:p>
      <w:pPr>
        <w:pStyle w:val="ListBullet"/>
        <w:spacing w:after="40" w:line="252" w:lineRule="auto"/>
      </w:pPr>
      <w:r>
        <w:rPr>
          <w:b/>
        </w:rPr>
        <w:t xml:space="preserve">Continuity need: </w:t>
      </w:r>
      <w:r>
        <w:t>JSON-first durable report state so future studies can compare compatible measurements without treating old AI prose as truth.</w:t>
      </w:r>
    </w:p>
    <w:p>
      <w:pPr>
        <w:pStyle w:val="ListBullet"/>
        <w:spacing w:after="40" w:line="252" w:lineRule="auto"/>
      </w:pPr>
      <w:r>
        <w:rPr>
          <w:b/>
        </w:rPr>
        <w:t xml:space="preserve">Product trust need: </w:t>
      </w:r>
      <w:r>
        <w:t>repeated reports should feel like the same product. The content may change; controls, module behavior and report grammar should not randomly change.</w:t>
      </w:r>
    </w:p>
    <w:p>
      <w:pPr>
        <w:pStyle w:val="ListBullet"/>
        <w:spacing w:after="40" w:line="252" w:lineRule="auto"/>
      </w:pPr>
      <w:r>
        <w:rPr>
          <w:b/>
        </w:rPr>
        <w:t xml:space="preserve">Platform horizon: </w:t>
      </w:r>
      <w:r>
        <w:t>Personal Coaching, Player Study, Player Comparison, Team/Strategy/Opponent modes remain a broader vision. Each mode must earn promotion independently.</w:t>
      </w:r>
    </w:p>
    <w:tbl>
      <w:tblPr>
        <w:tblW w:type="auto" w:w="0"/>
        <w:jc w:val="center"/>
        <w:tblLayout w:type="autofit"/>
        <w:tblLook w:firstColumn="1" w:firstRow="1" w:lastColumn="0" w:lastRow="0" w:noHBand="0" w:noVBand="1" w:val="04A0"/>
      </w:tblPr>
      <w:tblGrid>
        <w:gridCol w:w="10166"/>
      </w:tblGrid>
      <w:tr>
        <w:tc>
          <w:tcPr>
            <w:tcW w:type="dxa" w:w="10166"/>
            <w:shd w:fill="DFF2E5"/>
            <w:tcMar>
              <w:top w:w="120" w:type="dxa"/>
              <w:start w:w="140" w:type="dxa"/>
              <w:bottom w:w="120" w:type="dxa"/>
              <w:end w:w="140" w:type="dxa"/>
            </w:tcMar>
          </w:tcPr>
          <w:p>
            <w:pPr>
              <w:spacing w:after="60"/>
            </w:pPr>
            <w:r>
              <w:rPr>
                <w:rFonts w:ascii="Aptos" w:hAnsi="Aptos"/>
                <w:b/>
                <w:color w:val="173A5E"/>
                <w:sz w:val="21"/>
              </w:rPr>
              <w:t>FOUNDATIONAL PRODUCT LAW</w:t>
            </w:r>
          </w:p>
          <w:p>
            <w:pPr>
              <w:spacing w:after="0" w:line="252" w:lineRule="auto"/>
            </w:pPr>
            <w:r>
              <w:rPr>
                <w:rFonts w:ascii="Aptos" w:hAnsi="Aptos"/>
                <w:b w:val="0"/>
                <w:color w:val="1E2A35"/>
                <w:sz w:val="19"/>
              </w:rPr>
              <w:t>Not every measurable statistic becomes a finding. Not every finding becomes coaching. Not every coaching insight becomes a player-facing module.</w:t>
            </w:r>
          </w:p>
        </w:tc>
      </w:tr>
    </w:tbl>
    <w:p>
      <w:pPr>
        <w:spacing w:after="20"/>
      </w:pPr>
    </w:p>
    <w:p>
      <w:pPr>
        <w:pStyle w:val="Heading2"/>
        <w:spacing w:after="80" w:line="259" w:lineRule="auto"/>
      </w:pPr>
      <w:r>
        <w:t>Current serious product surfaces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0D1B2A"/>
            <w:tcMar>
              <w:top w:w="80" w:type="dxa"/>
              <w:start w:w="90" w:type="dxa"/>
              <w:bottom w:w="80" w:type="dxa"/>
              <w:end w:w="90" w:type="dxa"/>
            </w:tcMar>
          </w:tcPr>
          <w:p>
            <w:r>
              <w:rPr>
                <w:rFonts w:ascii="Aptos" w:hAnsi="Aptos"/>
                <w:b/>
                <w:color w:val="FFFFFF"/>
                <w:sz w:val="18"/>
              </w:rPr>
              <w:t>Item</w:t>
            </w:r>
          </w:p>
        </w:tc>
        <w:tc>
          <w:tcPr>
            <w:tcW w:type="dxa" w:w="3389"/>
            <w:shd w:fill="0D1B2A"/>
            <w:tcMar>
              <w:top w:w="80" w:type="dxa"/>
              <w:start w:w="90" w:type="dxa"/>
              <w:bottom w:w="80" w:type="dxa"/>
              <w:end w:w="90" w:type="dxa"/>
            </w:tcMar>
          </w:tcPr>
          <w:p>
            <w:r>
              <w:rPr>
                <w:rFonts w:ascii="Aptos" w:hAnsi="Aptos"/>
                <w:b/>
                <w:color w:val="FFFFFF"/>
                <w:sz w:val="18"/>
              </w:rPr>
              <w:t>Current status</w:t>
            </w:r>
          </w:p>
        </w:tc>
        <w:tc>
          <w:tcPr>
            <w:tcW w:type="dxa" w:w="3389"/>
            <w:shd w:fill="0D1B2A"/>
            <w:tcMar>
              <w:top w:w="80" w:type="dxa"/>
              <w:start w:w="90" w:type="dxa"/>
              <w:bottom w:w="80" w:type="dxa"/>
              <w:end w:w="90" w:type="dxa"/>
            </w:tcMar>
          </w:tcPr>
          <w:p>
            <w:r>
              <w:rPr>
                <w:rFonts w:ascii="Aptos" w:hAnsi="Aptos"/>
                <w:b/>
                <w:color w:val="FFFFFF"/>
                <w:sz w:val="18"/>
              </w:rPr>
              <w:t>Stage 5 meaning</w:t>
            </w:r>
          </w:p>
        </w:tc>
      </w:tr>
      <w:tr>
        <w:tc>
          <w:tcPr>
            <w:tcW w:type="dxa" w:w="3389"/>
            <w:tcMar>
              <w:top w:w="80" w:type="dxa"/>
              <w:start w:w="90" w:type="dxa"/>
              <w:bottom w:w="80" w:type="dxa"/>
              <w:end w:w="90" w:type="dxa"/>
            </w:tcMar>
          </w:tcPr>
          <w:p>
            <w:r>
              <w:rPr>
                <w:rFonts w:ascii="Aptos" w:hAnsi="Aptos"/>
                <w:b/>
                <w:color w:val="1E2A35"/>
                <w:sz w:val="17"/>
              </w:rPr>
              <w:t>Personal Coaching</w:t>
            </w:r>
          </w:p>
        </w:tc>
        <w:tc>
          <w:tcPr>
            <w:tcW w:type="dxa" w:w="3389"/>
            <w:tcMar>
              <w:top w:w="80" w:type="dxa"/>
              <w:start w:w="90" w:type="dxa"/>
              <w:bottom w:w="80" w:type="dxa"/>
              <w:end w:w="90" w:type="dxa"/>
            </w:tcMar>
            <w:shd w:fill="DFF2E5"/>
          </w:tcPr>
          <w:p>
            <w:r>
              <w:t>Demonstrated lineage; current support ACTION blocked</w:t>
            </w:r>
          </w:p>
        </w:tc>
        <w:tc>
          <w:tcPr>
            <w:tcW w:type="dxa" w:w="3389"/>
            <w:tcMar>
              <w:top w:w="80" w:type="dxa"/>
              <w:start w:w="90" w:type="dxa"/>
              <w:bottom w:w="80" w:type="dxa"/>
              <w:end w:w="90" w:type="dxa"/>
            </w:tcMar>
          </w:tcPr>
          <w:p>
            <w:r>
              <w:t>M12.1 remains the only complete bounded learning-loop lineage and is useful as a structural V4 fixture. V4-B.3 now records the support-context interpretation as ACTION_BLOCKED after 3/3 independent reviews returned INSUFFICIENT_EVIDENCE; the deterministic recurrence measurement is preserved.</w:t>
            </w:r>
          </w:p>
        </w:tc>
      </w:tr>
      <w:tr>
        <w:tc>
          <w:tcPr>
            <w:tcW w:type="dxa" w:w="3389"/>
            <w:tcMar>
              <w:top w:w="80" w:type="dxa"/>
              <w:start w:w="90" w:type="dxa"/>
              <w:bottom w:w="80" w:type="dxa"/>
              <w:end w:w="90" w:type="dxa"/>
            </w:tcMar>
          </w:tcPr>
          <w:p>
            <w:r>
              <w:rPr>
                <w:rFonts w:ascii="Aptos" w:hAnsi="Aptos"/>
                <w:b/>
                <w:color w:val="1E2A35"/>
                <w:sz w:val="17"/>
              </w:rPr>
              <w:t>Player Study</w:t>
            </w:r>
          </w:p>
        </w:tc>
        <w:tc>
          <w:tcPr>
            <w:tcW w:type="dxa" w:w="3389"/>
            <w:tcMar>
              <w:top w:w="80" w:type="dxa"/>
              <w:start w:w="90" w:type="dxa"/>
              <w:bottom w:w="80" w:type="dxa"/>
              <w:end w:w="90" w:type="dxa"/>
            </w:tcMar>
            <w:shd w:fill="DFF2E5"/>
          </w:tcPr>
          <w:p>
            <w:r>
              <w:rPr>
                <w:rFonts w:ascii="Aptos" w:hAnsi="Aptos"/>
                <w:b w:val="0"/>
                <w:color w:val="1E2A35"/>
                <w:sz w:val="17"/>
              </w:rPr>
              <w:t>Demonstrated descriptive slice</w:t>
            </w:r>
          </w:p>
        </w:tc>
        <w:tc>
          <w:tcPr>
            <w:tcW w:type="dxa" w:w="3389"/>
            <w:tcMar>
              <w:top w:w="80" w:type="dxa"/>
              <w:start w:w="90" w:type="dxa"/>
              <w:bottom w:w="80" w:type="dxa"/>
              <w:end w:w="90" w:type="dxa"/>
            </w:tcMar>
          </w:tcPr>
          <w:p>
            <w:r>
              <w:rPr>
                <w:rFonts w:ascii="Aptos" w:hAnsi="Aptos"/>
                <w:b w:val="0"/>
                <w:color w:val="1E2A35"/>
                <w:sz w:val="17"/>
              </w:rPr>
              <w:t>V3-D1 through D4.1 exercised descriptive metrics, bounded language and human comprehension; teaching/actionability is still being refined.</w:t>
            </w:r>
          </w:p>
        </w:tc>
      </w:tr>
      <w:tr>
        <w:tc>
          <w:tcPr>
            <w:tcW w:type="dxa" w:w="3389"/>
            <w:tcMar>
              <w:top w:w="80" w:type="dxa"/>
              <w:start w:w="90" w:type="dxa"/>
              <w:bottom w:w="80" w:type="dxa"/>
              <w:end w:w="90" w:type="dxa"/>
            </w:tcMar>
          </w:tcPr>
          <w:p>
            <w:r>
              <w:rPr>
                <w:rFonts w:ascii="Aptos" w:hAnsi="Aptos"/>
                <w:b/>
                <w:color w:val="1E2A35"/>
                <w:sz w:val="17"/>
              </w:rPr>
              <w:t>Analyst Desk</w:t>
            </w:r>
          </w:p>
        </w:tc>
        <w:tc>
          <w:tcPr>
            <w:tcW w:type="dxa" w:w="3389"/>
            <w:tcMar>
              <w:top w:w="80" w:type="dxa"/>
              <w:start w:w="90" w:type="dxa"/>
              <w:bottom w:w="80" w:type="dxa"/>
              <w:end w:w="90" w:type="dxa"/>
            </w:tcMar>
            <w:shd w:fill="FFF2CC"/>
          </w:tcPr>
          <w:p>
            <w:r>
              <w:rPr>
                <w:rFonts w:ascii="Aptos" w:hAnsi="Aptos"/>
                <w:b w:val="0"/>
                <w:color w:val="1E2A35"/>
                <w:sz w:val="17"/>
              </w:rPr>
              <w:t>Draft concept</w:t>
            </w:r>
          </w:p>
        </w:tc>
        <w:tc>
          <w:tcPr>
            <w:tcW w:type="dxa" w:w="3389"/>
            <w:tcMar>
              <w:top w:w="80" w:type="dxa"/>
              <w:start w:w="90" w:type="dxa"/>
              <w:bottom w:w="80" w:type="dxa"/>
              <w:end w:w="90" w:type="dxa"/>
            </w:tcMar>
          </w:tcPr>
          <w:p>
            <w:r>
              <w:rPr>
                <w:rFonts w:ascii="Aptos" w:hAnsi="Aptos"/>
                <w:b w:val="0"/>
                <w:color w:val="1E2A35"/>
                <w:sz w:val="17"/>
              </w:rPr>
              <w:t>The canonical human analytical projection of governed structured findings. It is not itself a truth store and does not need full chrome before the first V4 composition experiment.</w:t>
            </w:r>
          </w:p>
        </w:tc>
      </w:tr>
      <w:tr>
        <w:tc>
          <w:tcPr>
            <w:tcW w:type="dxa" w:w="3389"/>
            <w:tcMar>
              <w:top w:w="80" w:type="dxa"/>
              <w:start w:w="90" w:type="dxa"/>
              <w:bottom w:w="80" w:type="dxa"/>
              <w:end w:w="90" w:type="dxa"/>
            </w:tcMar>
          </w:tcPr>
          <w:p>
            <w:r>
              <w:rPr>
                <w:rFonts w:ascii="Aptos" w:hAnsi="Aptos"/>
                <w:b/>
                <w:color w:val="1E2A35"/>
                <w:sz w:val="17"/>
              </w:rPr>
              <w:t>Comparison / Team / Strategy</w:t>
            </w:r>
          </w:p>
        </w:tc>
        <w:tc>
          <w:tcPr>
            <w:tcW w:type="dxa" w:w="3389"/>
            <w:tcMar>
              <w:top w:w="80" w:type="dxa"/>
              <w:start w:w="90" w:type="dxa"/>
              <w:bottom w:w="80" w:type="dxa"/>
              <w:end w:w="90" w:type="dxa"/>
            </w:tcMar>
            <w:shd w:fill="F4F6F8"/>
          </w:tcPr>
          <w:p>
            <w:r>
              <w:rPr>
                <w:rFonts w:ascii="Aptos" w:hAnsi="Aptos"/>
                <w:b w:val="0"/>
                <w:color w:val="1E2A35"/>
                <w:sz w:val="17"/>
              </w:rPr>
              <w:t>Research / unfrozen</w:t>
            </w:r>
          </w:p>
        </w:tc>
        <w:tc>
          <w:tcPr>
            <w:tcW w:type="dxa" w:w="3389"/>
            <w:tcMar>
              <w:top w:w="80" w:type="dxa"/>
              <w:start w:w="90" w:type="dxa"/>
              <w:bottom w:w="80" w:type="dxa"/>
              <w:end w:w="90" w:type="dxa"/>
            </w:tcMar>
          </w:tcPr>
          <w:p>
            <w:r>
              <w:rPr>
                <w:rFonts w:ascii="Aptos" w:hAnsi="Aptos"/>
                <w:b w:val="0"/>
                <w:color w:val="1E2A35"/>
                <w:sz w:val="17"/>
              </w:rPr>
              <w:t>Architecture may support them, but matching, discovery, responsibility and generalization contracts remain separate validation problems.</w:t>
            </w:r>
          </w:p>
        </w:tc>
      </w:tr>
      <w:tr>
        <w:tc>
          <w:tcPr>
            <w:tcW w:type="dxa" w:w="3389"/>
            <w:tcMar>
              <w:top w:w="80" w:type="dxa"/>
              <w:start w:w="90" w:type="dxa"/>
              <w:bottom w:w="80" w:type="dxa"/>
              <w:end w:w="90" w:type="dxa"/>
            </w:tcMar>
          </w:tcPr>
          <w:p>
            <w:r>
              <w:rPr>
                <w:rFonts w:ascii="Aptos" w:hAnsi="Aptos"/>
                <w:b/>
                <w:color w:val="1E2A35"/>
                <w:sz w:val="17"/>
              </w:rPr>
              <w:t>Cope Barn</w:t>
            </w:r>
          </w:p>
        </w:tc>
        <w:tc>
          <w:tcPr>
            <w:tcW w:type="dxa" w:w="3389"/>
            <w:tcMar>
              <w:top w:w="80" w:type="dxa"/>
              <w:start w:w="90" w:type="dxa"/>
              <w:bottom w:w="80" w:type="dxa"/>
              <w:end w:w="90" w:type="dxa"/>
            </w:tcMar>
            <w:shd w:fill="F4F6F8"/>
          </w:tcPr>
          <w:p>
            <w:r>
              <w:rPr>
                <w:rFonts w:ascii="Aptos" w:hAnsi="Aptos"/>
                <w:b w:val="0"/>
                <w:color w:val="1E2A35"/>
                <w:sz w:val="17"/>
              </w:rPr>
              <w:t>Deferred entertainment mode</w:t>
            </w:r>
          </w:p>
        </w:tc>
        <w:tc>
          <w:tcPr>
            <w:tcW w:type="dxa" w:w="3389"/>
            <w:tcMar>
              <w:top w:w="80" w:type="dxa"/>
              <w:start w:w="90" w:type="dxa"/>
              <w:bottom w:w="80" w:type="dxa"/>
              <w:end w:w="90" w:type="dxa"/>
            </w:tcMar>
          </w:tcPr>
          <w:p>
            <w:r>
              <w:rPr>
                <w:rFonts w:ascii="Aptos" w:hAnsi="Aptos"/>
                <w:b w:val="0"/>
                <w:color w:val="1E2A35"/>
                <w:sz w:val="17"/>
              </w:rPr>
              <w:t>Must remain epistemically quarantined from ClaimRegistry, AnalystFinding, CoachingPlan and serious longitudinal state.</w:t>
            </w:r>
          </w:p>
        </w:tc>
      </w:tr>
    </w:tbl>
    <w:p>
      <w:pPr>
        <w:pStyle w:val="Heading1"/>
        <w:spacing w:after="80" w:line="259" w:lineRule="auto"/>
      </w:pPr>
      <w:r>
        <w:t>2. Authority and source-of-truth order</w:t>
      </w:r>
    </w:p>
    <w:p>
      <w:pPr>
        <w:pStyle w:val="ListBullet"/>
        <w:spacing w:after="40" w:line="252" w:lineRule="auto"/>
      </w:pPr>
      <w:r>
        <w:rPr>
          <w:b/>
        </w:rPr>
        <w:t xml:space="preserve">Raw/source evidence: </w:t>
      </w:r>
      <w:r>
        <w:t>raw demos, source assets, verified identities, hashes and provenance.</w:t>
      </w:r>
    </w:p>
    <w:p>
      <w:pPr>
        <w:pStyle w:val="ListBullet"/>
        <w:spacing w:after="40" w:line="252" w:lineRule="auto"/>
      </w:pPr>
      <w:r>
        <w:rPr>
          <w:b/>
        </w:rPr>
        <w:t xml:space="preserve">Deterministic evidence/analytics: </w:t>
      </w:r>
      <w:r>
        <w:t>observed anchors, canonical events, qualification policies, denominators, recurrence state, capability state and derived analytical objects.</w:t>
      </w:r>
    </w:p>
    <w:p>
      <w:pPr>
        <w:pStyle w:val="ListBullet"/>
        <w:spacing w:after="40" w:line="252" w:lineRule="auto"/>
      </w:pPr>
      <w:r>
        <w:rPr>
          <w:b/>
        </w:rPr>
        <w:t xml:space="preserve">Structured analytical interpretation: </w:t>
      </w:r>
      <w:r>
        <w:t>bounded AnalystFinding / Narrative state whose claim ceiling cannot exceed deterministic support.</w:t>
      </w:r>
    </w:p>
    <w:p>
      <w:pPr>
        <w:pStyle w:val="ListBullet"/>
        <w:spacing w:after="40" w:line="252" w:lineRule="auto"/>
      </w:pPr>
      <w:r>
        <w:rPr>
          <w:b/>
        </w:rPr>
        <w:t xml:space="preserve">Human projections: </w:t>
      </w:r>
      <w:r>
        <w:t>Analyst Desk and Player Study are rendered views of governed structured state. Rendered HTML/PDF never becomes evidence.</w:t>
      </w:r>
    </w:p>
    <w:p>
      <w:pPr>
        <w:pStyle w:val="ListBullet"/>
        <w:spacing w:after="40" w:line="252" w:lineRule="auto"/>
      </w:pPr>
      <w:r>
        <w:rPr>
          <w:b/>
        </w:rPr>
        <w:t xml:space="preserve">Curriculum / doctrine: </w:t>
      </w:r>
      <w:r>
        <w:t>guides how the AI reasons or teaches; never runtime evidence of what happened in the uploaded demos.</w:t>
      </w:r>
    </w:p>
    <w:tbl>
      <w:tblPr>
        <w:tblW w:type="auto" w:w="0"/>
        <w:jc w:val="center"/>
        <w:tblLayout w:type="autofit"/>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pPr>
              <w:spacing w:after="60"/>
            </w:pPr>
            <w:r>
              <w:rPr>
                <w:rFonts w:ascii="Aptos" w:hAnsi="Aptos"/>
                <w:b/>
                <w:color w:val="173A5E"/>
                <w:sz w:val="21"/>
              </w:rPr>
              <w:t>CURRENT DOCUMENT POSTURE</w:t>
            </w:r>
          </w:p>
          <w:p>
            <w:pPr>
              <w:spacing w:after="0" w:line="252" w:lineRule="auto"/>
            </w:pPr>
            <w:r>
              <w:rPr>
                <w:rFonts w:ascii="Aptos" w:hAnsi="Aptos"/>
                <w:b w:val="0"/>
                <w:color w:val="1E2A35"/>
                <w:sz w:val="19"/>
              </w:rPr>
              <w:t>v3.1 remains the active architecture baseline. V4.1 is the current control-plane-hardened draft and is intentionally non-frozen. The Stage 1-4 Evolution Record is descriptive history, not a requirements document.</w:t>
            </w:r>
          </w:p>
        </w:tc>
      </w:tr>
    </w:tbl>
    <w:p>
      <w:pPr>
        <w:spacing w:after="20"/>
      </w:pPr>
    </w:p>
    <w:p>
      <w:pPr>
        <w:pStyle w:val="Heading1"/>
        <w:spacing w:after="80" w:line="259" w:lineRule="auto"/>
      </w:pPr>
      <w:r>
        <w:t>3. Current conceptual pipeline</w:t>
      </w:r>
    </w:p>
    <w:p>
      <w:pPr>
        <w:spacing w:after="120"/>
        <w:ind w:left="360"/>
      </w:pPr>
      <w:r>
        <w:rPr>
          <w:rFonts w:ascii="Aptos Mono" w:hAnsi="Aptos Mono"/>
          <w:b/>
          <w:color w:val="173A5E"/>
          <w:sz w:val="18"/>
        </w:rPr>
        <w:t>DEMOS  -&gt;  parsing/source identity  -&gt;  reconstruction  -&gt;  deterministic analytics  -&gt;  structured snapshot  -&gt;  bounded AnalystFinding/Narrative  -&gt;  teaching eligibility + governed evidence selection  -&gt;  AI composition plan  -&gt;  product-owned renderer  -&gt;  Player Study</w:t>
      </w:r>
    </w:p>
    <w:p>
      <w:pPr>
        <w:ind w:left="360"/>
      </w:pPr>
      <w:r>
        <w:rPr>
          <w:rFonts w:ascii="Aptos Mono" w:hAnsi="Aptos Mono"/>
          <w:b/>
          <w:color w:val="173A5E"/>
          <w:sz w:val="18"/>
        </w:rPr>
        <w:t>Structured findings  -&gt;  Analyst Desk (human analytical projection)</w:t>
      </w:r>
    </w:p>
    <w:p>
      <w:pPr>
        <w:spacing w:after="100" w:line="259" w:lineRule="auto"/>
      </w:pPr>
      <w:r>
        <w:t>The intended separation is analytical state first, audience-specific projection second. A future Stage 5 implementation may build Player Study composition before the complete Analyst Desk UI, but it should not bypass the structured analytical objects that both surfaces share.</w:t>
      </w:r>
    </w:p>
    <w:p>
      <w:pPr>
        <w:pStyle w:val="Heading1"/>
        <w:spacing w:after="80" w:line="259" w:lineRule="auto"/>
      </w:pPr>
      <w:r>
        <w:t>4. Player Study presentation model</w:t>
      </w:r>
    </w:p>
    <w:p>
      <w:pPr>
        <w:pStyle w:val="ListBullet"/>
        <w:spacing w:after="40" w:line="252" w:lineRule="auto"/>
      </w:pPr>
      <w:r>
        <w:rPr>
          <w:b/>
        </w:rPr>
        <w:t xml:space="preserve">Fixed shell: </w:t>
      </w:r>
      <w:r>
        <w:t>StudyCoverageStrip -&gt; header -&gt; previous-study review when compatible -&gt; agenda -&gt; dynamic teaching body -&gt; study summary -&gt; downloads/methodology. Training resources remain deliberately deferred.</w:t>
      </w:r>
    </w:p>
    <w:p>
      <w:pPr>
        <w:pStyle w:val="ListBullet"/>
        <w:spacing w:after="40" w:line="252" w:lineRule="auto"/>
      </w:pPr>
      <w:r>
        <w:rPr>
          <w:b/>
        </w:rPr>
        <w:t xml:space="preserve">Dynamic teaching body: </w:t>
      </w:r>
      <w:r>
        <w:t>each TeachingMoment is one coherent lesson and can combine registered module instances according to a small layout grammar.</w:t>
      </w:r>
    </w:p>
    <w:p>
      <w:pPr>
        <w:pStyle w:val="ListBullet"/>
        <w:spacing w:after="40" w:line="252" w:lineRule="auto"/>
      </w:pPr>
      <w:r>
        <w:rPr>
          <w:b/>
        </w:rPr>
        <w:t xml:space="preserve">AI role: </w:t>
      </w:r>
      <w:r>
        <w:t>the AI creates a composition plan. It selects among legal product-owned modules/configurations and supplies bounded prose. It does not design controls, CSS, calculations, evidence rules or new module behavior.</w:t>
      </w:r>
    </w:p>
    <w:p>
      <w:pPr>
        <w:pStyle w:val="ListBullet"/>
        <w:spacing w:after="40" w:line="252" w:lineRule="auto"/>
      </w:pPr>
      <w:r>
        <w:rPr>
          <w:b/>
        </w:rPr>
        <w:t xml:space="preserve">Renderer role: </w:t>
      </w:r>
      <w:r>
        <w:t>the product owns interaction semantics, module layouts, responsive behavior, unavailable-state behavior, accessibility, PDF/static fallback and visual consistency.</w:t>
      </w:r>
    </w:p>
    <w:p>
      <w:pPr>
        <w:pStyle w:val="ListBullet"/>
        <w:spacing w:after="40" w:line="252" w:lineRule="auto"/>
      </w:pPr>
      <w:r>
        <w:rPr>
          <w:b/>
        </w:rPr>
        <w:t xml:space="preserve">InfoDisclosure: </w:t>
      </w:r>
      <w:r>
        <w:t>the information/disclosure affordance is intended to be pervasive: What does this mean? How is this calculated? Why am I seeing this? Why was this example selected? What are the limitations?</w:t>
      </w:r>
    </w:p>
    <w:p>
      <w:pPr>
        <w:pStyle w:val="ListBullet"/>
        <w:spacing w:after="40" w:line="252" w:lineRule="auto"/>
      </w:pPr>
      <w:r>
        <w:rPr>
          <w:b/>
        </w:rPr>
        <w:t xml:space="preserve">Metrics: </w:t>
      </w:r>
      <w:r>
        <w:t>useful but not privileged. A metric block is one possible supporting module, not the default anatomy of every lesson.</w:t>
      </w:r>
    </w:p>
    <w:p>
      <w:pPr>
        <w:pStyle w:val="Heading2"/>
        <w:spacing w:after="80" w:line="259" w:lineRule="auto"/>
      </w:pPr>
      <w:r>
        <w:t>Initial layout grammar</w:t>
      </w:r>
    </w:p>
    <w:p>
      <w:pPr>
        <w:pStyle w:val="ListBullet"/>
        <w:spacing w:after="40" w:line="252" w:lineRule="auto"/>
      </w:pPr>
      <w:r>
        <w:t>TEXT_ABOVE_MODULE</w:t>
      </w:r>
    </w:p>
    <w:p>
      <w:pPr>
        <w:pStyle w:val="ListBullet"/>
        <w:spacing w:after="40" w:line="252" w:lineRule="auto"/>
      </w:pPr>
      <w:r>
        <w:t>MODULE_ABOVE_TEXT</w:t>
      </w:r>
    </w:p>
    <w:p>
      <w:pPr>
        <w:pStyle w:val="ListBullet"/>
        <w:spacing w:after="40" w:line="252" w:lineRule="auto"/>
      </w:pPr>
      <w:r>
        <w:t>TEXT_LEFT_MODULE_RIGHT</w:t>
      </w:r>
    </w:p>
    <w:p>
      <w:pPr>
        <w:pStyle w:val="ListBullet"/>
        <w:spacing w:after="40" w:line="252" w:lineRule="auto"/>
      </w:pPr>
      <w:r>
        <w:t>MODULE_LEFT_TEXT_RIGHT</w:t>
      </w:r>
    </w:p>
    <w:p>
      <w:pPr>
        <w:pStyle w:val="ListBullet"/>
        <w:spacing w:after="40" w:line="252" w:lineRule="auto"/>
      </w:pPr>
      <w:r>
        <w:t>TEXT_ONLY (restricted)</w:t>
      </w:r>
    </w:p>
    <w:p>
      <w:pPr>
        <w:pStyle w:val="ListBullet"/>
        <w:spacing w:after="40" w:line="252" w:lineRule="auto"/>
      </w:pPr>
      <w:r>
        <w:t>MODULE_ONLY (restricted)</w:t>
      </w:r>
    </w:p>
    <w:p>
      <w:pPr>
        <w:pStyle w:val="Heading1"/>
        <w:spacing w:after="80" w:line="259" w:lineRule="auto"/>
      </w:pPr>
      <w:r>
        <w:t>5. Hard inherited guardrails - do not casually reopen</w:t>
      </w:r>
    </w:p>
    <w:p>
      <w:pPr>
        <w:pStyle w:val="ListBullet"/>
        <w:spacing w:after="40" w:line="252" w:lineRule="auto"/>
      </w:pPr>
      <w:r>
        <w:rPr>
          <w:b/>
        </w:rPr>
        <w:t xml:space="preserve">UNKNOWN is not false. </w:t>
      </w:r>
      <w:r>
        <w:t>Capability absence or unresolved evidence must fail closed.</w:t>
      </w:r>
    </w:p>
    <w:p>
      <w:pPr>
        <w:pStyle w:val="ListBullet"/>
        <w:spacing w:after="40" w:line="252" w:lineRule="auto"/>
      </w:pPr>
      <w:r>
        <w:rPr>
          <w:b/>
        </w:rPr>
        <w:t xml:space="preserve">One SituationPacket is not a tendency. </w:t>
      </w:r>
      <w:r>
        <w:t>Example counts are not opportunity denominators.</w:t>
      </w:r>
    </w:p>
    <w:p>
      <w:pPr>
        <w:pStyle w:val="ListBullet"/>
        <w:spacing w:after="40" w:line="252" w:lineRule="auto"/>
      </w:pPr>
      <w:r>
        <w:rPr>
          <w:b/>
        </w:rPr>
        <w:t xml:space="preserve">AI does not count recurrence. </w:t>
      </w:r>
      <w:r>
        <w:t>It may explain deterministic status and weaken a claim; it may not upgrade claim class or invent a denominator.</w:t>
      </w:r>
    </w:p>
    <w:p>
      <w:pPr>
        <w:pStyle w:val="ListBullet"/>
        <w:spacing w:after="40" w:line="252" w:lineRule="auto"/>
      </w:pPr>
      <w:r>
        <w:rPr>
          <w:b/>
        </w:rPr>
        <w:t xml:space="preserve">Observed and inferred remain distinct. </w:t>
      </w:r>
      <w:r>
        <w:t>Shared anchors contain observed/versioned anchors; tactical phases and interpretations are downstream.</w:t>
      </w:r>
    </w:p>
    <w:p>
      <w:pPr>
        <w:pStyle w:val="ListBullet"/>
        <w:spacing w:after="40" w:line="252" w:lineRule="auto"/>
      </w:pPr>
      <w:r>
        <w:rPr>
          <w:b/>
        </w:rPr>
        <w:t xml:space="preserve">Spatial sensors are not tactical truth. </w:t>
      </w:r>
      <w:r>
        <w:t>Static collision clear is not awareness; low velocity is not a held angle; untraded is not untradeable.</w:t>
      </w:r>
    </w:p>
    <w:p>
      <w:pPr>
        <w:pStyle w:val="ListBullet"/>
        <w:spacing w:after="40" w:line="252" w:lineRule="auto"/>
      </w:pPr>
      <w:r>
        <w:rPr>
          <w:b/>
        </w:rPr>
        <w:t xml:space="preserve">No simple before/after causal story. </w:t>
      </w:r>
      <w:r>
        <w:t>Measured change after coaching is not proof that coaching caused it.</w:t>
      </w:r>
    </w:p>
    <w:p>
      <w:pPr>
        <w:pStyle w:val="ListBullet"/>
        <w:spacing w:after="40" w:line="252" w:lineRule="auto"/>
      </w:pPr>
      <w:r>
        <w:rPr>
          <w:b/>
        </w:rPr>
        <w:t xml:space="preserve">Historical map/source provenance matters. </w:t>
      </w:r>
      <w:r>
        <w:t>Do not silently use current geometry/radar as exact historical evidence.</w:t>
      </w:r>
    </w:p>
    <w:p>
      <w:pPr>
        <w:pStyle w:val="ListBullet"/>
        <w:spacing w:after="40" w:line="252" w:lineRule="auto"/>
      </w:pPr>
      <w:r>
        <w:rPr>
          <w:b/>
        </w:rPr>
        <w:t xml:space="preserve">No arbitrary demo-count cap. </w:t>
      </w:r>
      <w:r>
        <w:t>Use resource limits, information coverage/saturation diagnostics and user policy rather than a magic number.</w:t>
      </w:r>
    </w:p>
    <w:p>
      <w:pPr>
        <w:pStyle w:val="ListBullet"/>
        <w:spacing w:after="40" w:line="252" w:lineRule="auto"/>
      </w:pPr>
      <w:r>
        <w:rPr>
          <w:b/>
        </w:rPr>
        <w:t xml:space="preserve">Raw demos stay local. </w:t>
      </w:r>
      <w:r>
        <w:t>Only bounded structured evidence should reach a model unless a future contract explicitly changes this.</w:t>
      </w:r>
    </w:p>
    <w:p>
      <w:pPr>
        <w:pStyle w:val="ListBullet"/>
        <w:spacing w:after="40" w:line="252" w:lineRule="auto"/>
      </w:pPr>
      <w:r>
        <w:rPr>
          <w:b/>
        </w:rPr>
        <w:t xml:space="preserve">Presentation cannot redefine evidence. </w:t>
      </w:r>
      <w:r>
        <w:t>A new chart or module may not secretly require a new canonical meaning or qualify a finding differently.</w:t>
      </w:r>
    </w:p>
    <w:p>
      <w:pPr>
        <w:pStyle w:val="Heading1"/>
        <w:spacing w:after="80" w:line="259" w:lineRule="auto"/>
      </w:pPr>
      <w:r>
        <w:t>6. What is actually demonstrated before Stage 5</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0D1B2A"/>
            <w:tcMar>
              <w:top w:w="80" w:type="dxa"/>
              <w:start w:w="90" w:type="dxa"/>
              <w:bottom w:w="80" w:type="dxa"/>
              <w:end w:w="90" w:type="dxa"/>
            </w:tcMar>
          </w:tcPr>
          <w:p>
            <w:r>
              <w:rPr>
                <w:rFonts w:ascii="Aptos" w:hAnsi="Aptos"/>
                <w:b/>
                <w:color w:val="FFFFFF"/>
                <w:sz w:val="18"/>
              </w:rPr>
              <w:t>Item</w:t>
            </w:r>
          </w:p>
        </w:tc>
        <w:tc>
          <w:tcPr>
            <w:tcW w:type="dxa" w:w="3389"/>
            <w:shd w:fill="0D1B2A"/>
            <w:tcMar>
              <w:top w:w="80" w:type="dxa"/>
              <w:start w:w="90" w:type="dxa"/>
              <w:bottom w:w="80" w:type="dxa"/>
              <w:end w:w="90" w:type="dxa"/>
            </w:tcMar>
          </w:tcPr>
          <w:p>
            <w:r>
              <w:rPr>
                <w:rFonts w:ascii="Aptos" w:hAnsi="Aptos"/>
                <w:b/>
                <w:color w:val="FFFFFF"/>
                <w:sz w:val="18"/>
              </w:rPr>
              <w:t>Current status</w:t>
            </w:r>
          </w:p>
        </w:tc>
        <w:tc>
          <w:tcPr>
            <w:tcW w:type="dxa" w:w="3389"/>
            <w:shd w:fill="0D1B2A"/>
            <w:tcMar>
              <w:top w:w="80" w:type="dxa"/>
              <w:start w:w="90" w:type="dxa"/>
              <w:bottom w:w="80" w:type="dxa"/>
              <w:end w:w="90" w:type="dxa"/>
            </w:tcMar>
          </w:tcPr>
          <w:p>
            <w:r>
              <w:rPr>
                <w:rFonts w:ascii="Aptos" w:hAnsi="Aptos"/>
                <w:b/>
                <w:color w:val="FFFFFF"/>
                <w:sz w:val="18"/>
              </w:rPr>
              <w:t>Stage 5 meaning</w:t>
            </w:r>
          </w:p>
        </w:tc>
      </w:tr>
      <w:tr>
        <w:tc>
          <w:tcPr>
            <w:tcW w:type="dxa" w:w="3389"/>
            <w:tcMar>
              <w:top w:w="80" w:type="dxa"/>
              <w:start w:w="90" w:type="dxa"/>
              <w:bottom w:w="80" w:type="dxa"/>
              <w:end w:w="90" w:type="dxa"/>
            </w:tcMar>
          </w:tcPr>
          <w:p>
            <w:r>
              <w:rPr>
                <w:rFonts w:ascii="Aptos" w:hAnsi="Aptos"/>
                <w:b/>
                <w:color w:val="1E2A35"/>
                <w:sz w:val="17"/>
              </w:rPr>
              <w:t>Shared local evidence core</w:t>
            </w:r>
          </w:p>
        </w:tc>
        <w:tc>
          <w:tcPr>
            <w:tcW w:type="dxa" w:w="3389"/>
            <w:tcMar>
              <w:top w:w="80" w:type="dxa"/>
              <w:start w:w="90" w:type="dxa"/>
              <w:bottom w:w="80" w:type="dxa"/>
              <w:end w:w="90" w:type="dxa"/>
            </w:tcMar>
            <w:shd w:fill="DFF2E5"/>
          </w:tcPr>
          <w:p>
            <w:r>
              <w:rPr>
                <w:rFonts w:ascii="Aptos" w:hAnsi="Aptos"/>
                <w:b w:val="0"/>
                <w:color w:val="1E2A35"/>
                <w:sz w:val="17"/>
              </w:rPr>
              <w:t>Demonstrated</w:t>
            </w:r>
          </w:p>
        </w:tc>
        <w:tc>
          <w:tcPr>
            <w:tcW w:type="dxa" w:w="3389"/>
            <w:tcMar>
              <w:top w:w="80" w:type="dxa"/>
              <w:start w:w="90" w:type="dxa"/>
              <w:bottom w:w="80" w:type="dxa"/>
              <w:end w:w="90" w:type="dxa"/>
            </w:tcMar>
          </w:tcPr>
          <w:p>
            <w:r>
              <w:rPr>
                <w:rFonts w:ascii="Aptos" w:hAnsi="Aptos"/>
                <w:b w:val="0"/>
                <w:color w:val="1E2A35"/>
                <w:sz w:val="17"/>
              </w:rPr>
              <w:t>250-demo v0.2 core; V3-B2 repaired FIRST_DAMAGE/FIRST_DEATH semantics and reduced store size from about 740 MB to about 24.8 MB without reparsing.</w:t>
            </w:r>
          </w:p>
        </w:tc>
      </w:tr>
      <w:tr>
        <w:tc>
          <w:tcPr>
            <w:tcW w:type="dxa" w:w="3389"/>
            <w:tcMar>
              <w:top w:w="80" w:type="dxa"/>
              <w:start w:w="90" w:type="dxa"/>
              <w:bottom w:w="80" w:type="dxa"/>
              <w:end w:w="90" w:type="dxa"/>
            </w:tcMar>
          </w:tcPr>
          <w:p>
            <w:r>
              <w:rPr>
                <w:rFonts w:ascii="Aptos" w:hAnsi="Aptos"/>
                <w:b/>
                <w:color w:val="1E2A35"/>
                <w:sz w:val="17"/>
              </w:rPr>
              <w:t>Warm/local iteration</w:t>
            </w:r>
          </w:p>
        </w:tc>
        <w:tc>
          <w:tcPr>
            <w:tcW w:type="dxa" w:w="3389"/>
            <w:tcMar>
              <w:top w:w="80" w:type="dxa"/>
              <w:start w:w="90" w:type="dxa"/>
              <w:bottom w:w="80" w:type="dxa"/>
              <w:end w:w="90" w:type="dxa"/>
            </w:tcMar>
            <w:shd w:fill="DFF2E5"/>
          </w:tcPr>
          <w:p>
            <w:r>
              <w:rPr>
                <w:rFonts w:ascii="Aptos" w:hAnsi="Aptos"/>
                <w:b w:val="0"/>
                <w:color w:val="1E2A35"/>
                <w:sz w:val="17"/>
              </w:rPr>
              <w:t>Demonstrated</w:t>
            </w:r>
          </w:p>
        </w:tc>
        <w:tc>
          <w:tcPr>
            <w:tcW w:type="dxa" w:w="3389"/>
            <w:tcMar>
              <w:top w:w="80" w:type="dxa"/>
              <w:start w:w="90" w:type="dxa"/>
              <w:bottom w:w="80" w:type="dxa"/>
              <w:end w:w="90" w:type="dxa"/>
            </w:tcMar>
          </w:tcPr>
          <w:p>
            <w:r>
              <w:rPr>
                <w:rFonts w:ascii="Aptos" w:hAnsi="Aptos"/>
                <w:b w:val="0"/>
                <w:color w:val="1E2A35"/>
                <w:sz w:val="17"/>
              </w:rPr>
              <w:t>Earlier scale work showed 251/251 warm cache hits and zero parser calls; policy/report iteration can be much cheaper than raw decode.</w:t>
            </w:r>
          </w:p>
        </w:tc>
      </w:tr>
      <w:tr>
        <w:tc>
          <w:tcPr>
            <w:tcW w:type="dxa" w:w="3389"/>
            <w:tcMar>
              <w:top w:w="80" w:type="dxa"/>
              <w:start w:w="90" w:type="dxa"/>
              <w:bottom w:w="80" w:type="dxa"/>
              <w:end w:w="90" w:type="dxa"/>
            </w:tcMar>
          </w:tcPr>
          <w:p>
            <w:r>
              <w:rPr>
                <w:rFonts w:ascii="Aptos" w:hAnsi="Aptos"/>
                <w:b/>
                <w:color w:val="1E2A35"/>
                <w:sz w:val="17"/>
              </w:rPr>
              <w:t>Player Study descriptive pack</w:t>
            </w:r>
          </w:p>
        </w:tc>
        <w:tc>
          <w:tcPr>
            <w:tcW w:type="dxa" w:w="3389"/>
            <w:tcMar>
              <w:top w:w="80" w:type="dxa"/>
              <w:start w:w="90" w:type="dxa"/>
              <w:bottom w:w="80" w:type="dxa"/>
              <w:end w:w="90" w:type="dxa"/>
            </w:tcMar>
            <w:shd w:fill="DFF2E5"/>
          </w:tcPr>
          <w:p>
            <w:r>
              <w:rPr>
                <w:rFonts w:ascii="Aptos" w:hAnsi="Aptos"/>
                <w:b w:val="0"/>
                <w:color w:val="1E2A35"/>
                <w:sz w:val="17"/>
              </w:rPr>
              <w:t>Demonstrated</w:t>
            </w:r>
          </w:p>
        </w:tc>
        <w:tc>
          <w:tcPr>
            <w:tcW w:type="dxa" w:w="3389"/>
            <w:tcMar>
              <w:top w:w="80" w:type="dxa"/>
              <w:start w:w="90" w:type="dxa"/>
              <w:bottom w:w="80" w:type="dxa"/>
              <w:end w:w="90" w:type="dxa"/>
            </w:tcMar>
          </w:tcPr>
          <w:p>
            <w:r>
              <w:rPr>
                <w:rFonts w:ascii="Aptos" w:hAnsi="Aptos"/>
                <w:b w:val="0"/>
                <w:color w:val="1E2A35"/>
                <w:sz w:val="17"/>
              </w:rPr>
              <w:t>V3-D1 ran on 78 demos / 1,617 rounds with six selected lazy situation frames and no route interpolation.</w:t>
            </w:r>
          </w:p>
        </w:tc>
      </w:tr>
      <w:tr>
        <w:tc>
          <w:tcPr>
            <w:tcW w:type="dxa" w:w="3389"/>
            <w:tcMar>
              <w:top w:w="80" w:type="dxa"/>
              <w:start w:w="90" w:type="dxa"/>
              <w:bottom w:w="80" w:type="dxa"/>
              <w:end w:w="90" w:type="dxa"/>
            </w:tcMar>
          </w:tcPr>
          <w:p>
            <w:r>
              <w:rPr>
                <w:rFonts w:ascii="Aptos" w:hAnsi="Aptos"/>
                <w:b/>
                <w:color w:val="1E2A35"/>
                <w:sz w:val="17"/>
              </w:rPr>
              <w:t>Bounded AI interpretation</w:t>
            </w:r>
          </w:p>
        </w:tc>
        <w:tc>
          <w:tcPr>
            <w:tcW w:type="dxa" w:w="3389"/>
            <w:tcMar>
              <w:top w:w="80" w:type="dxa"/>
              <w:start w:w="90" w:type="dxa"/>
              <w:bottom w:w="80" w:type="dxa"/>
              <w:end w:w="90" w:type="dxa"/>
            </w:tcMar>
            <w:shd w:fill="DFF2E5"/>
          </w:tcPr>
          <w:p>
            <w:r>
              <w:rPr>
                <w:rFonts w:ascii="Aptos" w:hAnsi="Aptos"/>
                <w:b w:val="0"/>
                <w:color w:val="1E2A35"/>
                <w:sz w:val="17"/>
              </w:rPr>
              <w:t>Demonstrated structurally</w:t>
            </w:r>
          </w:p>
        </w:tc>
        <w:tc>
          <w:tcPr>
            <w:tcW w:type="dxa" w:w="3389"/>
            <w:tcMar>
              <w:top w:w="80" w:type="dxa"/>
              <w:start w:w="90" w:type="dxa"/>
              <w:bottom w:w="80" w:type="dxa"/>
              <w:end w:w="90" w:type="dxa"/>
            </w:tcMar>
          </w:tcPr>
          <w:p>
            <w:r>
              <w:rPr>
                <w:rFonts w:ascii="Aptos" w:hAnsi="Aptos"/>
                <w:b w:val="0"/>
                <w:color w:val="1E2A35"/>
                <w:sz w:val="17"/>
              </w:rPr>
              <w:t>V3-D3M: 5/5 independent fresh-chat outputs passed deterministic validation and preserved one claim/evidence structure.</w:t>
            </w:r>
          </w:p>
        </w:tc>
      </w:tr>
      <w:tr>
        <w:tc>
          <w:tcPr>
            <w:tcW w:type="dxa" w:w="3389"/>
            <w:tcMar>
              <w:top w:w="80" w:type="dxa"/>
              <w:start w:w="90" w:type="dxa"/>
              <w:bottom w:w="80" w:type="dxa"/>
              <w:end w:w="90" w:type="dxa"/>
            </w:tcMar>
          </w:tcPr>
          <w:p>
            <w:r>
              <w:rPr>
                <w:rFonts w:ascii="Aptos" w:hAnsi="Aptos"/>
                <w:b/>
                <w:color w:val="1E2A35"/>
                <w:sz w:val="17"/>
              </w:rPr>
              <w:t>Player metric comprehension repair</w:t>
            </w:r>
          </w:p>
        </w:tc>
        <w:tc>
          <w:tcPr>
            <w:tcW w:type="dxa" w:w="3389"/>
            <w:tcMar>
              <w:top w:w="80" w:type="dxa"/>
              <w:start w:w="90" w:type="dxa"/>
              <w:bottom w:w="80" w:type="dxa"/>
              <w:end w:w="90" w:type="dxa"/>
            </w:tcMar>
            <w:shd w:fill="DFF2E5"/>
          </w:tcPr>
          <w:p>
            <w:r>
              <w:rPr>
                <w:rFonts w:ascii="Aptos" w:hAnsi="Aptos"/>
                <w:b w:val="0"/>
                <w:color w:val="1E2A35"/>
                <w:sz w:val="17"/>
              </w:rPr>
              <w:t>Demonstrated with owner review</w:t>
            </w:r>
          </w:p>
        </w:tc>
        <w:tc>
          <w:tcPr>
            <w:tcW w:type="dxa" w:w="3389"/>
            <w:tcMar>
              <w:top w:w="80" w:type="dxa"/>
              <w:start w:w="90" w:type="dxa"/>
              <w:bottom w:w="80" w:type="dxa"/>
              <w:end w:w="90" w:type="dxa"/>
            </w:tcMar>
          </w:tcPr>
          <w:p>
            <w:r>
              <w:rPr>
                <w:rFonts w:ascii="Aptos" w:hAnsi="Aptos"/>
                <w:b w:val="0"/>
                <w:color w:val="1E2A35"/>
                <w:sz w:val="17"/>
              </w:rPr>
              <w:t>D4.1 made denominators/opening/first-damage metrics understandable to the owner; actionability and example rationale remained open.</w:t>
            </w:r>
          </w:p>
        </w:tc>
      </w:tr>
      <w:tr>
        <w:tc>
          <w:tcPr>
            <w:tcW w:type="dxa" w:w="3389"/>
            <w:tcMar>
              <w:top w:w="80" w:type="dxa"/>
              <w:start w:w="90" w:type="dxa"/>
              <w:bottom w:w="80" w:type="dxa"/>
              <w:end w:w="90" w:type="dxa"/>
            </w:tcMar>
          </w:tcPr>
          <w:p>
            <w:r>
              <w:rPr>
                <w:rFonts w:ascii="Aptos" w:hAnsi="Aptos"/>
                <w:b/>
                <w:color w:val="1E2A35"/>
                <w:sz w:val="17"/>
              </w:rPr>
              <w:t>D4.2 relationship/presentation experiment</w:t>
            </w:r>
          </w:p>
        </w:tc>
        <w:tc>
          <w:tcPr>
            <w:tcW w:type="dxa" w:w="3389"/>
            <w:tcMar>
              <w:top w:w="80" w:type="dxa"/>
              <w:start w:w="90" w:type="dxa"/>
              <w:bottom w:w="80" w:type="dxa"/>
              <w:end w:w="90" w:type="dxa"/>
            </w:tcMar>
            <w:shd w:fill="FFF2CC"/>
          </w:tcPr>
          <w:p>
            <w:r>
              <w:rPr>
                <w:rFonts w:ascii="Aptos" w:hAnsi="Aptos"/>
                <w:b w:val="0"/>
                <w:color w:val="1E2A35"/>
                <w:sz w:val="17"/>
              </w:rPr>
              <w:t>Pending return</w:t>
            </w:r>
          </w:p>
        </w:tc>
        <w:tc>
          <w:tcPr>
            <w:tcW w:type="dxa" w:w="3389"/>
            <w:tcMar>
              <w:top w:w="80" w:type="dxa"/>
              <w:start w:w="90" w:type="dxa"/>
              <w:bottom w:w="80" w:type="dxa"/>
              <w:end w:w="90" w:type="dxa"/>
            </w:tcMar>
          </w:tcPr>
          <w:p>
            <w:r>
              <w:rPr>
                <w:rFonts w:ascii="Aptos" w:hAnsi="Aptos"/>
                <w:b w:val="0"/>
                <w:color w:val="1E2A35"/>
                <w:sz w:val="17"/>
              </w:rPr>
              <w:t>Package was designed, but no D4.2 handoff has been returned in the current record. First-round-engagement semantics should not be frozen from intuition.</w:t>
            </w:r>
          </w:p>
        </w:tc>
      </w:tr>
      <w:tr>
        <w:tc>
          <w:tcPr>
            <w:tcW w:type="dxa" w:w="3389"/>
            <w:tcMar>
              <w:top w:w="80" w:type="dxa"/>
              <w:start w:w="90" w:type="dxa"/>
              <w:bottom w:w="80" w:type="dxa"/>
              <w:end w:w="90" w:type="dxa"/>
            </w:tcMar>
          </w:tcPr>
          <w:p>
            <w:r>
              <w:rPr>
                <w:rFonts w:ascii="Aptos" w:hAnsi="Aptos"/>
                <w:b/>
                <w:color w:val="1E2A35"/>
                <w:sz w:val="17"/>
              </w:rPr>
              <w:t>Personal Coaching loop</w:t>
            </w:r>
          </w:p>
        </w:tc>
        <w:tc>
          <w:tcPr>
            <w:tcW w:type="dxa" w:w="3389"/>
            <w:tcMar>
              <w:top w:w="80" w:type="dxa"/>
              <w:start w:w="90" w:type="dxa"/>
              <w:bottom w:w="80" w:type="dxa"/>
              <w:end w:w="90" w:type="dxa"/>
            </w:tcMar>
            <w:shd w:fill="DFF2E5"/>
          </w:tcPr>
          <w:p>
            <w:r>
              <w:t>Demonstrated lineage; semantic ACTION blocked</w:t>
            </w:r>
          </w:p>
        </w:tc>
        <w:tc>
          <w:tcPr>
            <w:tcW w:type="dxa" w:w="3389"/>
            <w:tcMar>
              <w:top w:w="80" w:type="dxa"/>
              <w:start w:w="90" w:type="dxa"/>
              <w:bottom w:w="80" w:type="dxa"/>
              <w:end w:w="90" w:type="dxa"/>
            </w:tcMar>
          </w:tcPr>
          <w:p>
            <w:r>
              <w:t>M12.1 "Connect your next fight" remains the only complete bounded learning-loop lineage. V4-B.3 preserves its deterministic recurrence measurement but blocks the current support ACTION interpretation after independent falsification review.</w:t>
            </w:r>
          </w:p>
        </w:tc>
      </w:tr>
      <w:tr>
        <w:tc>
          <w:tcPr>
            <w:tcW w:type="dxa" w:w="3389"/>
            <w:tcMar>
              <w:top w:w="80" w:type="dxa"/>
              <w:start w:w="90" w:type="dxa"/>
              <w:bottom w:w="80" w:type="dxa"/>
              <w:end w:w="90" w:type="dxa"/>
            </w:tcMar>
          </w:tcPr>
          <w:p>
            <w:r>
              <w:rPr>
                <w:rFonts w:ascii="Aptos" w:hAnsi="Aptos"/>
                <w:b/>
                <w:color w:val="1E2A35"/>
                <w:sz w:val="17"/>
              </w:rPr>
              <w:t>Real-map/human-time viewer</w:t>
            </w:r>
          </w:p>
        </w:tc>
        <w:tc>
          <w:tcPr>
            <w:tcW w:type="dxa" w:w="3389"/>
            <w:tcMar>
              <w:top w:w="80" w:type="dxa"/>
              <w:start w:w="90" w:type="dxa"/>
              <w:bottom w:w="80" w:type="dxa"/>
              <w:end w:w="90" w:type="dxa"/>
            </w:tcMar>
            <w:shd w:fill="F4F6F8"/>
          </w:tcPr>
          <w:p>
            <w:r>
              <w:t>Temporal playback human-positive; map-backed pilot prepared</w:t>
            </w:r>
          </w:p>
        </w:tc>
        <w:tc>
          <w:tcPr>
            <w:tcW w:type="dxa" w:w="3389"/>
            <w:tcMar>
              <w:top w:w="80" w:type="dxa"/>
              <w:start w:w="90" w:type="dxa"/>
              <w:bottom w:w="80" w:type="dxa"/>
              <w:end w:w="90" w:type="dxa"/>
            </w:tcMar>
          </w:tcPr>
          <w:p>
            <w:r>
              <w:t>V4-V1 playback/scrubbing is materially better than a static frame, but mapless playback remains too hard to interpret. V4-V2 now tests current AWPy radar as a presentation-only orientation layer; exact historical radar provenance remains unresolved.</w:t>
            </w:r>
          </w:p>
        </w:tc>
      </w:tr>
    </w:tbl>
    <w:p>
      <w:pPr>
        <w:pStyle w:val="Heading1"/>
        <w:spacing w:after="80" w:line="259" w:lineRule="auto"/>
      </w:pPr>
      <w:r>
        <w:t>7. V4.1 changes Stage 5 must remember</w:t>
      </w:r>
    </w:p>
    <w:p>
      <w:pPr>
        <w:pStyle w:val="ListBullet"/>
        <w:spacing w:after="40" w:line="252" w:lineRule="auto"/>
      </w:pPr>
      <w:r>
        <w:rPr>
          <w:b/>
        </w:rPr>
        <w:t xml:space="preserve">AnalystFinding lifecycle: </w:t>
      </w:r>
      <w:r>
        <w:t>ACTIVE / STALE / SUPERSEDED / RETRACTED semantics and dependency-driven invalidation are part of the draft direction.</w:t>
      </w:r>
    </w:p>
    <w:p>
      <w:pPr>
        <w:pStyle w:val="ListBullet"/>
        <w:spacing w:after="40" w:line="252" w:lineRule="auto"/>
      </w:pPr>
      <w:r>
        <w:rPr>
          <w:b/>
        </w:rPr>
        <w:t xml:space="preserve">Teaching promotion: </w:t>
      </w:r>
      <w:r>
        <w:t>educational value is not allowed to promote weak evidence. A deterministic TeachingEligibilityDecision sits before AI educational judgment and constrains legal intents.</w:t>
      </w:r>
    </w:p>
    <w:p>
      <w:pPr>
        <w:pStyle w:val="ListBullet"/>
        <w:spacing w:after="40" w:line="252" w:lineRule="auto"/>
      </w:pPr>
      <w:r>
        <w:rPr>
          <w:b/>
        </w:rPr>
        <w:t xml:space="preserve">Evidence selection: </w:t>
      </w:r>
      <w:r>
        <w:t>selected examples are an analytical operation with a candidate population, policy, roles, counterexamples and tie-breaking; the viewer only renders the selected set.</w:t>
      </w:r>
    </w:p>
    <w:p>
      <w:pPr>
        <w:pStyle w:val="ListBullet"/>
        <w:spacing w:after="40" w:line="252" w:lineRule="auto"/>
      </w:pPr>
      <w:r>
        <w:rPr>
          <w:b/>
        </w:rPr>
        <w:t xml:space="preserve">Deep evidence: </w:t>
      </w:r>
      <w:r>
        <w:t>follow-up evidence requests distinguish confirmatory expansion from exploratory search so deeper investigation cannot silently change a finding.</w:t>
      </w:r>
    </w:p>
    <w:p>
      <w:pPr>
        <w:pStyle w:val="ListBullet"/>
        <w:spacing w:after="40" w:line="252" w:lineRule="auto"/>
      </w:pPr>
      <w:r>
        <w:rPr>
          <w:b/>
        </w:rPr>
        <w:t xml:space="preserve">Narrative fragments: </w:t>
      </w:r>
      <w:r>
        <w:t>AI prose is a bounded/auditable artifact tied to claims, audience, model run and validation rather than free-floating report text.</w:t>
      </w:r>
    </w:p>
    <w:p>
      <w:pPr>
        <w:pStyle w:val="ListBullet"/>
        <w:spacing w:after="40" w:line="252" w:lineRule="auto"/>
      </w:pPr>
      <w:r>
        <w:rPr>
          <w:b/>
        </w:rPr>
        <w:t xml:space="preserve">Composition hypothesis: </w:t>
      </w:r>
      <w:r>
        <w:t>AI composition is still desired, but it must be compared against a registered deterministic fallback and must have a degraded-operation path when planning fails.</w:t>
      </w:r>
    </w:p>
    <w:p>
      <w:pPr>
        <w:pStyle w:val="ListBullet"/>
        <w:spacing w:after="40" w:line="252" w:lineRule="auto"/>
      </w:pPr>
      <w:r>
        <w:rPr>
          <w:b/>
        </w:rPr>
        <w:t xml:space="preserve">Viewer2D v1: </w:t>
      </w:r>
      <w:r>
        <w:t>foundation scope is schematic SINGLE_SITUATION. Rich comparison/utility/pattern/reference variants remain capability/comparability gated.</w:t>
      </w:r>
    </w:p>
    <w:p>
      <w:pPr>
        <w:pStyle w:val="ListBullet"/>
        <w:spacing w:after="40" w:line="252" w:lineRule="auto"/>
      </w:pPr>
      <w:r>
        <w:rPr>
          <w:b/>
        </w:rPr>
        <w:t xml:space="preserve">Longitudinal compatibility: </w:t>
      </w:r>
      <w:r>
        <w:t>comparisons require explicit compatibility classes. Neutral measured-change language comes before any interpretation of improvement/regression.</w:t>
      </w:r>
    </w:p>
    <w:p>
      <w:pPr>
        <w:pStyle w:val="ListBullet"/>
        <w:spacing w:after="40" w:line="252" w:lineRule="auto"/>
      </w:pPr>
      <w:r>
        <w:rPr>
          <w:b/>
        </w:rPr>
        <w:t xml:space="preserve">Security/accessibility/rights: </w:t>
      </w:r>
      <w:r>
        <w:t>hostile-demo containment, payload allowlists/pseudonymization, module accessibility contracts, registry integrity and media/content rights belong in the main risk model.</w:t>
      </w:r>
    </w:p>
    <w:p>
      <w:pPr>
        <w:pStyle w:val="ListBullet"/>
        <w:spacing w:after="40" w:line="252" w:lineRule="auto"/>
      </w:pPr>
      <w:r>
        <w:rPr>
          <w:b/>
        </w:rPr>
        <w:t xml:space="preserve">Human evaluation: </w:t>
      </w:r>
      <w:r>
        <w:t>owner feedback is valuable but N=1. Freeze decisions for teaching/composition should eventually include at least one reviewer who did not author the architecture.</w:t>
      </w:r>
    </w:p>
    <w:p>
      <w:pPr>
        <w:pStyle w:val="Heading1"/>
        <w:spacing w:after="80" w:line="259" w:lineRule="auto"/>
      </w:pPr>
      <w:r>
        <w:t>8. Important items not finalized</w:t>
      </w:r>
    </w:p>
    <w:p>
      <w:pPr>
        <w:pStyle w:val="ListBullet"/>
        <w:spacing w:after="40" w:line="252" w:lineRule="auto"/>
      </w:pPr>
      <w:r>
        <w:t>V4.1 itself and its candidate ADRs/contracts are not frozen.</w:t>
      </w:r>
    </w:p>
    <w:p>
      <w:pPr>
        <w:pStyle w:val="ListBullet"/>
        <w:spacing w:after="40" w:line="252" w:lineRule="auto"/>
      </w:pPr>
      <w:r>
        <w:t>Full module inventory, maximum Teaching Moment count, density/aesthetic budgets and which Viewer2D configurations graduate beyond SINGLE_SITUATION.</w:t>
      </w:r>
    </w:p>
    <w:p>
      <w:pPr>
        <w:pStyle w:val="ListBullet"/>
      </w:pPr>
      <w:r>
        <w:t>SupportContext / supportive-position semantics: which reconstructed facts are necessary, which remain interpretive, and how reference cases influence coaching without becoming student evidence.</w:t>
      </w:r>
    </w:p>
    <w:p>
      <w:pPr>
        <w:pStyle w:val="ListBullet"/>
      </w:pPr>
      <w:r>
        <w:t>ReferenceTeachingCorpus / pro-match and pro-PUG curation: provenance, rights, annotation quality, context matching, update cadence and contamination barriers.</w:t>
      </w:r>
    </w:p>
    <w:p>
      <w:pPr>
        <w:pStyle w:val="ListBullet"/>
      </w:pPr>
      <w:r>
        <w:t>Multi-example A/B contrast-set selection: representativeness, counterexamples, context diversity and how many examples are useful without turning the report into a replay dump.</w:t>
      </w:r>
    </w:p>
    <w:p>
      <w:pPr>
        <w:pStyle w:val="ListBullet"/>
      </w:pPr>
      <w:r>
        <w:t>ConceptApplicabilityContract / FalsificationPolicy: how internal curriculum concepts become testable questions, what disconfirming evidence is required, how counterexamples are selected, and when candidate teaching is downgraded, withheld or sent back for deeper analysis.</w:t>
      </w:r>
    </w:p>
    <w:p>
      <w:pPr>
        <w:pStyle w:val="ListBullet"/>
        <w:spacing w:after="40" w:line="252" w:lineRule="auto"/>
      </w:pPr>
      <w:r>
        <w:t>Whether AI composition demonstrates enough added teaching value over deterministic fallback to become the default.</w:t>
      </w:r>
    </w:p>
    <w:p>
      <w:pPr>
        <w:pStyle w:val="ListBullet"/>
        <w:spacing w:after="40" w:line="252" w:lineRule="auto"/>
      </w:pPr>
      <w:r>
        <w:t>Full Analyst Desk chrome, coach annotation/override model and multi-coach workflows.</w:t>
      </w:r>
    </w:p>
    <w:p>
      <w:pPr>
        <w:pStyle w:val="ListBullet"/>
        <w:spacing w:after="40" w:line="252" w:lineRule="auto"/>
      </w:pPr>
      <w:r>
        <w:t>Final PDF engine and desktop shell technology.</w:t>
      </w:r>
    </w:p>
    <w:p>
      <w:pPr>
        <w:pStyle w:val="ListBullet"/>
        <w:spacing w:after="40" w:line="252" w:lineRule="auto"/>
      </w:pPr>
      <w:r>
        <w:t>Historical real-map/radar acquisition/distribution, dynamic geometry and source-independent human-time semantics.</w:t>
      </w:r>
    </w:p>
    <w:p>
      <w:pPr>
        <w:pStyle w:val="ListBullet"/>
        <w:spacing w:after="40" w:line="252" w:lineRule="auto"/>
      </w:pPr>
      <w:r>
        <w:t>Match-aware uncertainty for clustered rounds and any player-facing inferential statistics.</w:t>
      </w:r>
    </w:p>
    <w:p>
      <w:pPr>
        <w:pStyle w:val="ListBullet"/>
        <w:spacing w:after="40" w:line="252" w:lineRule="auto"/>
      </w:pPr>
      <w:r>
        <w:t>TrainingResourceRegistry / YouTube / drill curation - explicitly paused.</w:t>
      </w:r>
    </w:p>
    <w:p>
      <w:pPr>
        <w:pStyle w:val="ListBullet"/>
        <w:spacing w:after="40" w:line="252" w:lineRule="auto"/>
      </w:pPr>
      <w:r>
        <w:t>Player Comparison matcher/estimands and Team/Strategy discovery/qualification.</w:t>
      </w:r>
    </w:p>
    <w:p>
      <w:pPr>
        <w:pStyle w:val="ListBullet"/>
        <w:spacing w:after="40" w:line="252" w:lineRule="auto"/>
      </w:pPr>
      <w:r>
        <w:t>Cope Barn experience/content library; only its serious-state quarantine principle is currently important.</w:t>
      </w:r>
    </w:p>
    <w:p>
      <w:pPr>
        <w:pStyle w:val="ListBullet"/>
        <w:spacing w:after="40" w:line="252" w:lineRule="auto"/>
      </w:pPr>
      <w:r>
        <w:t>Generalization beyond the primary development player / second-player coaching validation.</w:t>
      </w:r>
    </w:p>
    <w:p>
      <w:pPr>
        <w:pStyle w:val="Heading1"/>
        <w:spacing w:after="80" w:line="259" w:lineRule="auto"/>
      </w:pPr>
      <w:r>
        <w:t>9. Recommended Stage 5 entry path - candidate, not frozen</w:t>
      </w:r>
    </w:p>
    <w:p>
      <w:pPr>
        <w:spacing w:after="80" w:line="259" w:lineRule="auto"/>
      </w:pPr>
      <w:r>
        <w:t>Stage 5 should favor small, high-information vertical slices over a broad renderer build.</w:t>
      </w:r>
    </w:p>
    <w:p>
      <w:pPr>
        <w:pStyle w:val="ListBullet"/>
        <w:spacing w:after="40" w:line="252" w:lineRule="auto"/>
      </w:pPr>
      <w:r>
        <w:t>V4-A - contract extraction: COMPLETE / PASS. Returned V4A_ai_handoff.json reports V4A_PASS, 11 candidate schemas, 15 positive checks, 16/16 intended rejection fixtures, and no demo parsing/model/UI dependency. No V4 object was frozen; v3.1 remains the active baseline.</w:t>
      </w:r>
    </w:p>
    <w:p>
      <w:pPr>
        <w:pStyle w:val="ListBullet"/>
        <w:spacing w:after="40" w:line="252" w:lineRule="auto"/>
      </w:pPr>
      <w:r>
        <w:t>V4-B - M12.1 golden Teaching Moments: STRUCTURAL REVIEW LIMITED BUT INFORMATIVE. The A/B contrast grammar is useful, but the current M12.1 support lesson is not semantically product-ready because proximity/connectivity does not establish actual supportive positioning.</w:t>
      </w:r>
    </w:p>
    <w:p>
      <w:pPr>
        <w:pStyle w:val="ListBullet"/>
        <w:spacing w:after="40" w:line="252" w:lineRule="auto"/>
      </w:pPr>
      <w:r>
        <w:t>V4-B.1: COMPLETE / PASS. ACTION support teaching remains blocked with INSUFFICIENT_EVIDENCE; deterministic recurrence is preserved and the executable anti-regression layer is active.</w:t>
      </w:r>
    </w:p>
    <w:p>
      <w:pPr>
        <w:pStyle w:val="ListBullet"/>
        <w:spacing w:after="40" w:line="252" w:lineRule="auto"/>
      </w:pPr>
      <w:r>
        <w:t>V4-B.2: COMPLETE / PASS. Full-population candidate selection demonstrates direct counterexamples to simple proximity logic in both student and tournament populations; student recurrence and reference teaching remain separated.</w:t>
      </w:r>
    </w:p>
    <w:p>
      <w:pPr>
        <w:pStyle w:val="ListBullet"/>
        <w:spacing w:after="40" w:line="252" w:lineRule="auto"/>
      </w:pPr>
      <w:r>
        <w:t>V4-B.3: COMPLETE / PASS WITH SEMANTIC STOP. Three independent reviews all returned INSUFFICIENT_EVIDENCE; aggregate ACTION status is BLOCKED. The concept is quarantined from ACTION teaching pending bounded new evidence and a later surviving falsification review.</w:t>
      </w:r>
    </w:p>
    <w:p>
      <w:pPr>
        <w:pStyle w:val="ListBullet"/>
        <w:spacing w:after="40" w:line="252" w:lineRule="auto"/>
      </w:pPr>
      <w:r>
        <w:t>V4-V1 temporal playback: HUMAN UX POSITIVE / MAP-LIMITED. Playback and scrubbing are materially better than the static screenshot, but mapless playback is still too hard to interpret. Technical handoff is not promoted without returned V4V1_ai_handoff.json.</w:t>
      </w:r>
    </w:p>
    <w:p>
      <w:pPr>
        <w:pStyle w:val="ListBullet"/>
        <w:spacing w:after="40" w:line="252" w:lineRule="auto"/>
      </w:pPr>
      <w:r>
        <w:t>V4-V2 map-backed side-by-side viewer: PACKAGE PREPARED / USER RUN PENDING. Run CS2Coach_V4V2_MAP_DUAL_PANE_VIEWER_v0.1.0.zip. Student and pro-match panes are simultaneous, each with its own dropdown and playback controls.</w:t>
      </w:r>
    </w:p>
    <w:p>
      <w:pPr>
        <w:pStyle w:val="ListBullet"/>
        <w:spacing w:after="40" w:line="252" w:lineRule="auto"/>
      </w:pPr>
      <w:r>
        <w:t>V4-V2 uses current AWPy radar/map transforms only as a clearly disclosed orientation layer. Historical compatibility remains unresolved; map art cannot become evidence or alter TeachingEligibility.</w:t>
      </w:r>
    </w:p>
    <w:p>
      <w:pPr>
        <w:pStyle w:val="ListBullet"/>
      </w:pPr>
      <w:r>
        <w:t>User-facing viewer labels use literal demo names + T/CT colors. Remove FOCAL/attacker/teammate role words, place labels and Pre-window/Post-window/Death buttons. Key Moment stays absent until its own contract exists.</w:t>
      </w:r>
    </w:p>
    <w:p>
      <w:pPr>
        <w:pStyle w:val="ListBullet"/>
      </w:pPr>
      <w:r>
        <w:t>If V4-V2 is useful, keep the dual-pane/map interaction model and split follow-on work into independent tracks: historical radar provenance, comparable student/pro reference-pair selection, and KeyMoment semantics.</w:t>
      </w:r>
    </w:p>
    <w:p>
      <w:pPr>
        <w:pStyle w:val="ListBullet"/>
      </w:pPr>
      <w:r>
        <w:t>Re-run actual Player Study teaching only after a candidate concept survives falsification and enough viewer capability exists to inspect its evidence fairly.</w:t>
      </w:r>
    </w:p>
    <w:p>
      <w:pPr>
        <w:pStyle w:val="ListBullet"/>
      </w:pPr>
      <w:r>
        <w:t>V4-C composition experiment follows after teaching semantics and minimum viewer capability are credible. Hold structured analytical/teaching state fixed; bounded chats choose composition only, then validate/render locally against the deterministic fallback.</w:t>
      </w:r>
    </w:p>
    <w:p>
      <w:pPr>
        <w:pStyle w:val="ListBullet"/>
      </w:pPr>
      <w:r>
        <w:t>ReportBundle JSON remains the next durability target; D4.2 still requires return/evaluation or explicit de-scope; full Analyst Desk chrome follows after the first composition loop is stable.</w:t>
      </w:r>
    </w:p>
    <w:p>
      <w:pPr>
        <w:pStyle w:val="Heading1"/>
        <w:spacing w:after="80" w:line="259" w:lineRule="auto"/>
      </w:pPr>
      <w:r>
        <w:t>10. Operational environment / paths</w:t>
      </w:r>
    </w:p>
    <w:tbl>
      <w:tblPr>
        <w:tblStyle w:val="TableGrid"/>
        <w:tblW w:type="auto" w:w="0"/>
        <w:jc w:val="center"/>
        <w:tblLook w:firstColumn="1" w:firstRow="1" w:lastColumn="0" w:lastRow="0" w:noHBand="0" w:noVBand="1" w:val="04A0"/>
      </w:tblPr>
      <w:tblGrid>
        <w:gridCol w:w="5083"/>
        <w:gridCol w:w="5083"/>
      </w:tblGrid>
      <w:tr>
        <w:tc>
          <w:tcPr>
            <w:tcW w:type="dxa" w:w="5083"/>
            <w:shd w:fill="0D1B2A"/>
            <w:tcMar>
              <w:top w:w="80" w:type="dxa"/>
              <w:start w:w="90" w:type="dxa"/>
              <w:bottom w:w="80" w:type="dxa"/>
              <w:end w:w="90" w:type="dxa"/>
            </w:tcMar>
          </w:tcPr>
          <w:p>
            <w:r>
              <w:rPr>
                <w:rFonts w:ascii="Aptos" w:hAnsi="Aptos"/>
                <w:b/>
                <w:color w:val="FFFFFF"/>
                <w:sz w:val="18"/>
              </w:rPr>
              <w:t>Purpose</w:t>
            </w:r>
          </w:p>
        </w:tc>
        <w:tc>
          <w:tcPr>
            <w:tcW w:type="dxa" w:w="5083"/>
            <w:shd w:fill="0D1B2A"/>
            <w:tcMar>
              <w:top w:w="80" w:type="dxa"/>
              <w:start w:w="90" w:type="dxa"/>
              <w:bottom w:w="80" w:type="dxa"/>
              <w:end w:w="90" w:type="dxa"/>
            </w:tcMar>
          </w:tcPr>
          <w:p>
            <w:r>
              <w:rPr>
                <w:rFonts w:ascii="Aptos" w:hAnsi="Aptos"/>
                <w:b/>
                <w:color w:val="FFFFFF"/>
                <w:sz w:val="18"/>
              </w:rPr>
              <w:t>Current path / convention</w:t>
            </w:r>
          </w:p>
        </w:tc>
      </w:tr>
      <w:tr>
        <w:tc>
          <w:tcPr>
            <w:tcW w:type="dxa" w:w="5083"/>
            <w:tcMar>
              <w:top w:w="80" w:type="dxa"/>
              <w:start w:w="90" w:type="dxa"/>
              <w:bottom w:w="80" w:type="dxa"/>
              <w:end w:w="90" w:type="dxa"/>
            </w:tcMar>
          </w:tcPr>
          <w:p>
            <w:r>
              <w:rPr>
                <w:rFonts w:ascii="Aptos" w:hAnsi="Aptos"/>
                <w:b/>
                <w:color w:val="173A5E"/>
                <w:sz w:val="17"/>
              </w:rPr>
              <w:t>Project root</w:t>
            </w:r>
          </w:p>
        </w:tc>
        <w:tc>
          <w:tcPr>
            <w:tcW w:type="dxa" w:w="5083"/>
            <w:tcMar>
              <w:top w:w="80" w:type="dxa"/>
              <w:start w:w="90" w:type="dxa"/>
              <w:bottom w:w="80" w:type="dxa"/>
              <w:end w:w="90" w:type="dxa"/>
            </w:tcMar>
          </w:tcPr>
          <w:p>
            <w:r>
              <w:rPr>
                <w:rFonts w:ascii="Aptos" w:hAnsi="Aptos"/>
                <w:b w:val="0"/>
                <w:color w:val="1E2A35"/>
                <w:sz w:val="16"/>
              </w:rPr>
              <w:t>C:\Program Files (x86)\Steam\steamapps\common\Counter-Strike Global Offensive\game\csgo\replays\demoparser</w:t>
            </w:r>
          </w:p>
        </w:tc>
      </w:tr>
      <w:tr>
        <w:tc>
          <w:tcPr>
            <w:tcW w:type="dxa" w:w="5083"/>
            <w:tcMar>
              <w:top w:w="80" w:type="dxa"/>
              <w:start w:w="90" w:type="dxa"/>
              <w:bottom w:w="80" w:type="dxa"/>
              <w:end w:w="90" w:type="dxa"/>
            </w:tcMar>
          </w:tcPr>
          <w:p>
            <w:r>
              <w:rPr>
                <w:rFonts w:ascii="Aptos" w:hAnsi="Aptos"/>
                <w:b/>
                <w:color w:val="173A5E"/>
                <w:sz w:val="17"/>
              </w:rPr>
              <w:t>Development steps</w:t>
            </w:r>
          </w:p>
        </w:tc>
        <w:tc>
          <w:tcPr>
            <w:tcW w:type="dxa" w:w="5083"/>
            <w:tcMar>
              <w:top w:w="80" w:type="dxa"/>
              <w:start w:w="90" w:type="dxa"/>
              <w:bottom w:w="80" w:type="dxa"/>
              <w:end w:w="90" w:type="dxa"/>
            </w:tcMar>
          </w:tcPr>
          <w:p>
            <w:r>
              <w:rPr>
                <w:rFonts w:ascii="Aptos" w:hAnsi="Aptos"/>
                <w:b w:val="0"/>
                <w:color w:val="1E2A35"/>
                <w:sz w:val="16"/>
              </w:rPr>
              <w:t>...\demoparser\Development\Steps</w:t>
            </w:r>
          </w:p>
        </w:tc>
      </w:tr>
      <w:tr>
        <w:tc>
          <w:tcPr>
            <w:tcW w:type="dxa" w:w="5083"/>
            <w:tcMar>
              <w:top w:w="80" w:type="dxa"/>
              <w:start w:w="90" w:type="dxa"/>
              <w:bottom w:w="80" w:type="dxa"/>
              <w:end w:w="90" w:type="dxa"/>
            </w:tcMar>
          </w:tcPr>
          <w:p>
            <w:r>
              <w:rPr>
                <w:rFonts w:ascii="Aptos" w:hAnsi="Aptos"/>
                <w:b/>
                <w:color w:val="173A5E"/>
                <w:sz w:val="17"/>
              </w:rPr>
              <w:t>Shared v0.2 core</w:t>
            </w:r>
          </w:p>
        </w:tc>
        <w:tc>
          <w:tcPr>
            <w:tcW w:type="dxa" w:w="5083"/>
            <w:tcMar>
              <w:top w:w="80" w:type="dxa"/>
              <w:start w:w="90" w:type="dxa"/>
              <w:bottom w:w="80" w:type="dxa"/>
              <w:end w:w="90" w:type="dxa"/>
            </w:tcMar>
          </w:tcPr>
          <w:p>
            <w:r>
              <w:rPr>
                <w:rFonts w:ascii="Aptos Mono" w:hAnsi="Aptos Mono"/>
                <w:b w:val="0"/>
                <w:color w:val="1E2A35"/>
                <w:sz w:val="16"/>
              </w:rPr>
              <w:t>%LOCALAPPDATA%\CS2Coach\v3_shared_core\v0.2.0</w:t>
            </w:r>
          </w:p>
        </w:tc>
      </w:tr>
      <w:tr>
        <w:tc>
          <w:tcPr>
            <w:tcW w:type="dxa" w:w="5083"/>
            <w:tcMar>
              <w:top w:w="80" w:type="dxa"/>
              <w:start w:w="90" w:type="dxa"/>
              <w:bottom w:w="80" w:type="dxa"/>
              <w:end w:w="90" w:type="dxa"/>
            </w:tcMar>
          </w:tcPr>
          <w:p>
            <w:r>
              <w:rPr>
                <w:rFonts w:ascii="Aptos" w:hAnsi="Aptos"/>
                <w:b/>
                <w:color w:val="173A5E"/>
                <w:sz w:val="17"/>
              </w:rPr>
              <w:t>AWPy/Python environment</w:t>
            </w:r>
          </w:p>
        </w:tc>
        <w:tc>
          <w:tcPr>
            <w:tcW w:type="dxa" w:w="5083"/>
            <w:tcMar>
              <w:top w:w="80" w:type="dxa"/>
              <w:start w:w="90" w:type="dxa"/>
              <w:bottom w:w="80" w:type="dxa"/>
              <w:end w:w="90" w:type="dxa"/>
            </w:tcMar>
          </w:tcPr>
          <w:p>
            <w:r>
              <w:rPr>
                <w:rFonts w:ascii="Aptos Mono" w:hAnsi="Aptos Mono"/>
                <w:b w:val="0"/>
                <w:color w:val="1E2A35"/>
                <w:sz w:val="16"/>
              </w:rPr>
              <w:t>%LOCALAPPDATA%\CS2Coach\awpy-env\Scripts\python.exe</w:t>
            </w:r>
          </w:p>
        </w:tc>
      </w:tr>
      <w:tr>
        <w:tc>
          <w:tcPr>
            <w:tcW w:type="dxa" w:w="5083"/>
            <w:tcMar>
              <w:top w:w="80" w:type="dxa"/>
              <w:start w:w="90" w:type="dxa"/>
              <w:bottom w:w="80" w:type="dxa"/>
              <w:end w:w="90" w:type="dxa"/>
            </w:tcMar>
          </w:tcPr>
          <w:p>
            <w:r>
              <w:rPr>
                <w:rFonts w:ascii="Aptos" w:hAnsi="Aptos"/>
                <w:b/>
                <w:color w:val="173A5E"/>
                <w:sz w:val="17"/>
              </w:rPr>
              <w:t>Demo corpus folders</w:t>
            </w:r>
          </w:p>
        </w:tc>
        <w:tc>
          <w:tcPr>
            <w:tcW w:type="dxa" w:w="5083"/>
            <w:tcMar>
              <w:top w:w="80" w:type="dxa"/>
              <w:start w:w="90" w:type="dxa"/>
              <w:bottom w:w="80" w:type="dxa"/>
              <w:end w:w="90" w:type="dxa"/>
            </w:tcMar>
          </w:tcPr>
          <w:p>
            <w:r>
              <w:rPr>
                <w:rFonts w:ascii="Aptos" w:hAnsi="Aptos"/>
                <w:b w:val="0"/>
                <w:color w:val="1E2A35"/>
                <w:sz w:val="16"/>
              </w:rPr>
              <w:t>CoachOnboarding\analyzed_faceit, analyzed_IEMCologneMajor2026, analyzed_premier_batch1</w:t>
            </w:r>
          </w:p>
        </w:tc>
      </w:tr>
      <w:tr>
        <w:tc>
          <w:tcPr>
            <w:tcW w:type="dxa" w:w="5083"/>
            <w:tcMar>
              <w:top w:w="80" w:type="dxa"/>
              <w:start w:w="90" w:type="dxa"/>
              <w:bottom w:w="80" w:type="dxa"/>
              <w:end w:w="90" w:type="dxa"/>
            </w:tcMar>
          </w:tcPr>
          <w:p>
            <w:r>
              <w:rPr>
                <w:rFonts w:ascii="Aptos" w:hAnsi="Aptos"/>
                <w:b/>
                <w:color w:val="173A5E"/>
                <w:sz w:val="17"/>
              </w:rPr>
              <w:t>Preferred experiment delivery</w:t>
            </w:r>
          </w:p>
        </w:tc>
        <w:tc>
          <w:tcPr>
            <w:tcW w:type="dxa" w:w="5083"/>
            <w:tcMar>
              <w:top w:w="80" w:type="dxa"/>
              <w:start w:w="90" w:type="dxa"/>
              <w:bottom w:w="80" w:type="dxa"/>
              <w:end w:w="90" w:type="dxa"/>
            </w:tcMar>
          </w:tcPr>
          <w:p>
            <w:r>
              <w:rPr>
                <w:rFonts w:ascii="Aptos" w:hAnsi="Aptos"/>
                <w:b w:val="0"/>
                <w:color w:val="1E2A35"/>
                <w:sz w:val="16"/>
              </w:rPr>
              <w:t>One-command ZIP + PowerShell runner + explicit PASS/LIMITED/FAIL handoff JSON; reuse caches; parse raw demos only when the evidence request requires it.</w:t>
            </w:r>
          </w:p>
        </w:tc>
      </w:tr>
    </w:tbl>
    <w:p>
      <w:pPr>
        <w:pStyle w:val="Heading1"/>
        <w:spacing w:after="80" w:line="259" w:lineRule="auto"/>
      </w:pPr>
      <w:r>
        <w:t>11. Living update protocol - mandatory after every completed step</w:t>
      </w:r>
    </w:p>
    <w:tbl>
      <w:tblPr>
        <w:tblW w:type="auto" w:w="0"/>
        <w:jc w:val="center"/>
        <w:tblLayout w:type="autofit"/>
        <w:tblLook w:firstColumn="1" w:firstRow="1" w:lastColumn="0" w:lastRow="0" w:noHBand="0" w:noVBand="1" w:val="04A0"/>
      </w:tblPr>
      <w:tblGrid>
        <w:gridCol w:w="10166"/>
      </w:tblGrid>
      <w:tr>
        <w:tc>
          <w:tcPr>
            <w:tcW w:type="dxa" w:w="10166"/>
            <w:shd w:fill="EAF2FB"/>
            <w:tcMar>
              <w:top w:w="120" w:type="dxa"/>
              <w:start w:w="140" w:type="dxa"/>
              <w:bottom w:w="120" w:type="dxa"/>
              <w:end w:w="140" w:type="dxa"/>
            </w:tcMar>
          </w:tcPr>
          <w:p>
            <w:pPr>
              <w:spacing w:after="60"/>
            </w:pPr>
            <w:r>
              <w:rPr>
                <w:rFonts w:ascii="Aptos" w:hAnsi="Aptos"/>
                <w:b/>
                <w:color w:val="173A5E"/>
                <w:sz w:val="21"/>
              </w:rPr>
              <w:t>WHY THIS EXISTS</w:t>
            </w:r>
          </w:p>
          <w:p>
            <w:pPr>
              <w:spacing w:after="0" w:line="252" w:lineRule="auto"/>
            </w:pPr>
            <w:r>
              <w:rPr>
                <w:rFonts w:ascii="Aptos" w:hAnsi="Aptos"/>
                <w:b w:val="0"/>
                <w:color w:val="1E2A35"/>
                <w:sz w:val="19"/>
              </w:rPr>
              <w:t>This file is intended to survive chat/session loss. It should be updated when a step changes demonstrated state, architecture posture, current risks, immediate next action, or product-owner decisions. Do not wait until the end of a large phase.</w:t>
            </w:r>
          </w:p>
        </w:tc>
      </w:tr>
    </w:tbl>
    <w:p>
      <w:pPr>
        <w:spacing w:after="20"/>
      </w:pPr>
    </w:p>
    <w:p>
      <w:pPr>
        <w:pStyle w:val="ListBullet"/>
        <w:spacing w:after="40" w:line="252" w:lineRule="auto"/>
      </w:pPr>
      <w:r>
        <w:t>Update the document version and date.</w:t>
      </w:r>
    </w:p>
    <w:p>
      <w:pPr>
        <w:pStyle w:val="ListBullet"/>
        <w:spacing w:after="40" w:line="252" w:lineRule="auto"/>
      </w:pPr>
      <w:r>
        <w:t>Append one row to the revision log below.</w:t>
      </w:r>
    </w:p>
    <w:p>
      <w:pPr>
        <w:pStyle w:val="ListBullet"/>
        <w:spacing w:after="40" w:line="252" w:lineRule="auto"/>
      </w:pPr>
      <w:r>
        <w:t>Change “What is actually demonstrated” only when a returned artifact/handoff supports the change.</w:t>
      </w:r>
    </w:p>
    <w:p>
      <w:pPr>
        <w:pStyle w:val="ListBullet"/>
        <w:spacing w:after="40" w:line="252" w:lineRule="auto"/>
      </w:pPr>
      <w:r>
        <w:t>Change “V4.1 / architecture” status only after an explicit owner decision. Do not infer freeze from implementation.</w:t>
      </w:r>
    </w:p>
    <w:p>
      <w:pPr>
        <w:pStyle w:val="ListBullet"/>
        <w:spacing w:after="40" w:line="252" w:lineRule="auto"/>
      </w:pPr>
      <w:r>
        <w:t>Update the immediate next path and remove steps that are no longer current.</w:t>
      </w:r>
    </w:p>
    <w:p>
      <w:pPr>
        <w:pStyle w:val="ListBullet"/>
        <w:spacing w:after="40" w:line="252" w:lineRule="auto"/>
      </w:pPr>
      <w:r>
        <w:t>Add newly discovered guardrails or failed assumptions to the inherited-guardrail section if they are intended to persist.</w:t>
      </w:r>
    </w:p>
    <w:p>
      <w:pPr>
        <w:pStyle w:val="ListBullet"/>
        <w:spacing w:after="40" w:line="252" w:lineRule="auto"/>
      </w:pPr>
      <w:r>
        <w:t>Record exact artifact names and hashes for baseline/freeze documents when practical.</w:t>
      </w:r>
    </w:p>
    <w:p>
      <w:pPr>
        <w:pStyle w:val="ListBullet"/>
        <w:spacing w:after="40" w:line="252" w:lineRule="auto"/>
      </w:pPr>
      <w:r>
        <w:t>Preserve superseded decisions in the revision log instead of silently rewriting history.</w:t>
      </w:r>
    </w:p>
    <w:p>
      <w:pPr>
        <w:pStyle w:val="ListBullet"/>
        <w:spacing w:after="40" w:line="252" w:lineRule="auto"/>
      </w:pPr>
      <w:r>
        <w:t>If a human UX review changes product semantics, record both the prior assumption and the lesson learned.</w:t>
      </w:r>
    </w:p>
    <w:p>
      <w:pPr>
        <w:pStyle w:val="ListBullet"/>
        <w:spacing w:after="40" w:line="252" w:lineRule="auto"/>
      </w:pPr>
      <w:r>
        <w:t>Keep this handoff brief. Detailed evidence belongs in stage handoffs, architecture docs and the Evolution Record.</w:t>
      </w:r>
    </w:p>
    <w:p>
      <w:pPr>
        <w:pStyle w:val="Heading2"/>
        <w:spacing w:after="80" w:line="259" w:lineRule="auto"/>
      </w:pPr>
      <w:r>
        <w:t>Revision log</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0D1B2A"/>
            <w:tcMar>
              <w:top w:w="80" w:type="dxa"/>
              <w:start w:w="90" w:type="dxa"/>
              <w:bottom w:w="80" w:type="dxa"/>
              <w:end w:w="90" w:type="dxa"/>
            </w:tcMar>
          </w:tcPr>
          <w:p>
            <w:r>
              <w:rPr>
                <w:rFonts w:ascii="Aptos" w:hAnsi="Aptos"/>
                <w:b/>
                <w:color w:val="FFFFFF"/>
                <w:sz w:val="16"/>
              </w:rPr>
              <w:t>Version / date</w:t>
            </w:r>
          </w:p>
        </w:tc>
        <w:tc>
          <w:tcPr>
            <w:tcW w:type="dxa" w:w="2033"/>
            <w:shd w:fill="0D1B2A"/>
            <w:tcMar>
              <w:top w:w="80" w:type="dxa"/>
              <w:start w:w="90" w:type="dxa"/>
              <w:bottom w:w="80" w:type="dxa"/>
              <w:end w:w="90" w:type="dxa"/>
            </w:tcMar>
          </w:tcPr>
          <w:p>
            <w:r>
              <w:rPr>
                <w:rFonts w:ascii="Aptos" w:hAnsi="Aptos"/>
                <w:b/>
                <w:color w:val="FFFFFF"/>
                <w:sz w:val="16"/>
              </w:rPr>
              <w:t>Step</w:t>
            </w:r>
          </w:p>
        </w:tc>
        <w:tc>
          <w:tcPr>
            <w:tcW w:type="dxa" w:w="2033"/>
            <w:shd w:fill="0D1B2A"/>
            <w:tcMar>
              <w:top w:w="80" w:type="dxa"/>
              <w:start w:w="90" w:type="dxa"/>
              <w:bottom w:w="80" w:type="dxa"/>
              <w:end w:w="90" w:type="dxa"/>
            </w:tcMar>
          </w:tcPr>
          <w:p>
            <w:r>
              <w:rPr>
                <w:rFonts w:ascii="Aptos" w:hAnsi="Aptos"/>
                <w:b/>
                <w:color w:val="FFFFFF"/>
                <w:sz w:val="16"/>
              </w:rPr>
              <w:t>Decision / evidence</w:t>
            </w:r>
          </w:p>
        </w:tc>
        <w:tc>
          <w:tcPr>
            <w:tcW w:type="dxa" w:w="2033"/>
            <w:shd w:fill="0D1B2A"/>
            <w:tcMar>
              <w:top w:w="80" w:type="dxa"/>
              <w:start w:w="90" w:type="dxa"/>
              <w:bottom w:w="80" w:type="dxa"/>
              <w:end w:w="90" w:type="dxa"/>
            </w:tcMar>
          </w:tcPr>
          <w:p>
            <w:r>
              <w:rPr>
                <w:rFonts w:ascii="Aptos" w:hAnsi="Aptos"/>
                <w:b/>
                <w:color w:val="FFFFFF"/>
                <w:sz w:val="16"/>
              </w:rPr>
              <w:t>What changed in this brief</w:t>
            </w:r>
          </w:p>
        </w:tc>
        <w:tc>
          <w:tcPr>
            <w:tcW w:type="dxa" w:w="2033"/>
            <w:shd w:fill="0D1B2A"/>
            <w:tcMar>
              <w:top w:w="80" w:type="dxa"/>
              <w:start w:w="90" w:type="dxa"/>
              <w:bottom w:w="80" w:type="dxa"/>
              <w:end w:w="90" w:type="dxa"/>
            </w:tcMar>
          </w:tcPr>
          <w:p>
            <w:r>
              <w:rPr>
                <w:rFonts w:ascii="Aptos" w:hAnsi="Aptos"/>
                <w:b/>
                <w:color w:val="FFFFFF"/>
                <w:sz w:val="16"/>
              </w:rPr>
              <w:t>Next handoff</w:t>
            </w:r>
          </w:p>
        </w:tc>
      </w:tr>
      <w:tr>
        <w:tc>
          <w:tcPr>
            <w:tcW w:type="dxa" w:w="2033"/>
            <w:tcMar>
              <w:top w:w="80" w:type="dxa"/>
              <w:start w:w="90" w:type="dxa"/>
              <w:bottom w:w="80" w:type="dxa"/>
              <w:end w:w="90" w:type="dxa"/>
            </w:tcMar>
          </w:tcPr>
          <w:p>
            <w:r>
              <w:rPr>
                <w:rFonts w:ascii="Aptos" w:hAnsi="Aptos"/>
                <w:b/>
                <w:color w:val="1E2A35"/>
                <w:sz w:val="15"/>
              </w:rPr>
              <w:t>0.1 / 2026-09-28</w:t>
            </w:r>
          </w:p>
        </w:tc>
        <w:tc>
          <w:tcPr>
            <w:tcW w:type="dxa" w:w="2033"/>
            <w:tcMar>
              <w:top w:w="80" w:type="dxa"/>
              <w:start w:w="90" w:type="dxa"/>
              <w:bottom w:w="80" w:type="dxa"/>
              <w:end w:w="90" w:type="dxa"/>
            </w:tcMar>
          </w:tcPr>
          <w:p>
            <w:r>
              <w:rPr>
                <w:rFonts w:ascii="Aptos" w:hAnsi="Aptos"/>
                <w:b w:val="0"/>
                <w:color w:val="1E2A35"/>
                <w:sz w:val="15"/>
              </w:rPr>
              <w:t>Pre-Stage-5 initialization</w:t>
            </w:r>
          </w:p>
        </w:tc>
        <w:tc>
          <w:tcPr>
            <w:tcW w:type="dxa" w:w="2033"/>
            <w:tcMar>
              <w:top w:w="80" w:type="dxa"/>
              <w:start w:w="90" w:type="dxa"/>
              <w:bottom w:w="80" w:type="dxa"/>
              <w:end w:w="90" w:type="dxa"/>
            </w:tcMar>
          </w:tcPr>
          <w:p>
            <w:r>
              <w:rPr>
                <w:rFonts w:ascii="Aptos" w:hAnsi="Aptos"/>
                <w:b w:val="0"/>
                <w:color w:val="1E2A35"/>
                <w:sz w:val="15"/>
              </w:rPr>
              <w:t>V4.1 consultant reconciliation complete; V4.1 remains draft, v3.1 remains baseline.</w:t>
            </w:r>
          </w:p>
        </w:tc>
        <w:tc>
          <w:tcPr>
            <w:tcW w:type="dxa" w:w="2033"/>
            <w:tcMar>
              <w:top w:w="80" w:type="dxa"/>
              <w:start w:w="90" w:type="dxa"/>
              <w:bottom w:w="80" w:type="dxa"/>
              <w:end w:w="90" w:type="dxa"/>
            </w:tcMar>
          </w:tcPr>
          <w:p>
            <w:r>
              <w:rPr>
                <w:rFonts w:ascii="Aptos" w:hAnsi="Aptos"/>
                <w:b w:val="0"/>
                <w:color w:val="1E2A35"/>
                <w:sz w:val="15"/>
              </w:rPr>
              <w:t>Created living continuity brief and captured current V4.1 control-plane direction.</w:t>
            </w:r>
          </w:p>
        </w:tc>
        <w:tc>
          <w:tcPr>
            <w:tcW w:type="dxa" w:w="2033"/>
            <w:tcMar>
              <w:top w:w="80" w:type="dxa"/>
              <w:start w:w="90" w:type="dxa"/>
              <w:bottom w:w="80" w:type="dxa"/>
              <w:end w:w="90" w:type="dxa"/>
            </w:tcMar>
          </w:tcPr>
          <w:p>
            <w:r>
              <w:rPr>
                <w:rFonts w:ascii="Aptos" w:hAnsi="Aptos"/>
                <w:b w:val="0"/>
                <w:color w:val="1E2A35"/>
                <w:sz w:val="15"/>
              </w:rPr>
              <w:t>Begin V4-A / first M12.1 composition fixture unless owner changes sequence.</w:t>
            </w:r>
          </w:p>
        </w:tc>
      </w:tr>
      <w:tr>
        <w:tc>
          <w:tcPr>
            <w:tcW w:type="dxa" w:w="2033"/>
          </w:tcPr>
          <w:p>
            <w:r>
              <w:t>0.2 / 2026-09-28</w:t>
            </w:r>
          </w:p>
        </w:tc>
        <w:tc>
          <w:tcPr>
            <w:tcW w:type="dxa" w:w="2033"/>
          </w:tcPr>
          <w:p>
            <w:r>
              <w:t>Stage 5 initialization / V4-A package preparation</w:t>
            </w:r>
          </w:p>
        </w:tc>
        <w:tc>
          <w:tcPr>
            <w:tcW w:type="dxa" w:w="2033"/>
          </w:tcPr>
          <w:p>
            <w:r>
              <w:t>V4-A ZIP prepared; local synthetic self-test PASS (15 positive checks, 16 intended rejection fixtures). User-environment run pending.</w:t>
            </w:r>
          </w:p>
        </w:tc>
        <w:tc>
          <w:tcPr>
            <w:tcW w:type="dxa" w:w="2033"/>
          </w:tcPr>
          <w:p>
            <w:r>
              <w:t>Recorded exact V4-A package/hash and immediate next action; demonstrated-state claims unchanged.</w:t>
            </w:r>
          </w:p>
        </w:tc>
        <w:tc>
          <w:tcPr>
            <w:tcW w:type="dxa" w:w="2033"/>
          </w:tcPr>
          <w:p>
            <w:r>
              <w:t>Return V4A_ai_handoff.json.</w:t>
            </w:r>
          </w:p>
        </w:tc>
      </w:tr>
      <w:tr>
        <w:tc>
          <w:tcPr>
            <w:tcW w:type="dxa" w:w="2033"/>
          </w:tcPr>
          <w:p>
            <w:r>
              <w:t>0.3 / 2026-09-28</w:t>
            </w:r>
          </w:p>
        </w:tc>
        <w:tc>
          <w:tcPr>
            <w:tcW w:type="dxa" w:w="2033"/>
          </w:tcPr>
          <w:p>
            <w:r>
              <w:t>V4-A PASS / V4-B golden fixture preparation</w:t>
            </w:r>
          </w:p>
        </w:tc>
        <w:tc>
          <w:tcPr>
            <w:tcW w:type="dxa" w:w="2033"/>
          </w:tcPr>
          <w:p>
            <w:r>
              <w:t>Returned V4-A handoff: V4A_PASS; 11 candidate schemas, 15 positive checks, 16/16 intended rejection fixtures. V4-B integration-tested PASS locally.</w:t>
            </w:r>
          </w:p>
        </w:tc>
        <w:tc>
          <w:tcPr>
            <w:tcW w:type="dxa" w:w="2033"/>
          </w:tcPr>
          <w:p>
            <w:r>
              <w:t>Marked V4-A demonstrated; recorded V4-B package/hash and next teaching-fixture review. No architecture freeze occurred.</w:t>
            </w:r>
          </w:p>
        </w:tc>
        <w:tc>
          <w:tcPr>
            <w:tcW w:type="dxa" w:w="2033"/>
          </w:tcPr>
          <w:p>
            <w:r>
              <w:t>Run V4-B and return V4B_ai_handoff.json + human review JSON.</w:t>
            </w:r>
          </w:p>
        </w:tc>
      </w:tr>
      <w:tr>
        <w:tc>
          <w:tcPr>
            <w:tcW w:type="dxa" w:w="2033"/>
          </w:tcPr>
          <w:p>
            <w:r>
              <w:t>0.4 / 2026-09-28</w:t>
            </w:r>
          </w:p>
        </w:tc>
        <w:tc>
          <w:tcPr>
            <w:tcW w:type="dxa" w:w="2033"/>
          </w:tcPr>
          <w:p>
            <w:r>
              <w:t>V4-B human fixture review scope correction</w:t>
            </w:r>
          </w:p>
        </w:tc>
        <w:tc>
          <w:tcPr>
            <w:tcW w:type="dxa" w:w="2033"/>
          </w:tcPr>
          <w:p>
            <w:r>
              <w:t>Owner: A/B good-vs-bad contrast is useful; viewer teaching value is not meaningfully judgeable without map/playback/mature controls.</w:t>
            </w:r>
          </w:p>
        </w:tc>
        <w:tc>
          <w:tcPr>
            <w:tcW w:type="dxa" w:w="2033"/>
          </w:tcPr>
          <w:p>
            <w:r>
              <w:t>Separated composition-grammar evaluation from viewer-capability evaluation; initially moved a minimal Viewer2D foundation slice ahead of V4-C.</w:t>
            </w:r>
          </w:p>
        </w:tc>
        <w:tc>
          <w:tcPr>
            <w:tcW w:type="dxa" w:w="2033"/>
          </w:tcPr>
          <w:p>
            <w:r>
              <w:t>Reassess next dependency after semantic review.</w:t>
            </w:r>
          </w:p>
        </w:tc>
      </w:tr>
      <w:tr>
        <w:tc>
          <w:tcPr>
            <w:tcW w:type="dxa" w:w="2033"/>
          </w:tcPr>
          <w:p>
            <w:r>
              <w:t>0.5 / 2026-09-28</w:t>
            </w:r>
          </w:p>
        </w:tc>
        <w:tc>
          <w:tcPr>
            <w:tcW w:type="dxa" w:w="2033"/>
          </w:tcPr>
          <w:p>
            <w:r>
              <w:t>V4-B semantic teaching review</w:t>
            </w:r>
          </w:p>
        </w:tc>
        <w:tc>
          <w:tcPr>
            <w:tcW w:type="dxa" w:w="2033"/>
          </w:tcPr>
          <w:p>
            <w:r>
              <w:t>Owner: A/B comparison is useful; proximity alone is not a valid proxy for supportive positioning; one A/B pair is too anecdotal; pro/pro-PUG contextual references are desired.</w:t>
            </w:r>
          </w:p>
        </w:tc>
        <w:tc>
          <w:tcPr>
            <w:tcW w:type="dxa" w:w="2033"/>
          </w:tcPr>
          <w:p>
            <w:r>
              <w:t>Reclassified M12.1 as structural fixture rather than semantic golden; added contextual-support, multi-example contrast-set and separate reference-teaching-layer requirements; viewer work becomes parallel rather than sole blocker.</w:t>
            </w:r>
          </w:p>
        </w:tc>
        <w:tc>
          <w:tcPr>
            <w:tcW w:type="dxa" w:w="2033"/>
          </w:tcPr>
          <w:p>
            <w:r>
              <w:t>Define contextual teaching-evidence/reference contracts and test richer support-context packets before V4-C composition.</w:t>
            </w:r>
          </w:p>
        </w:tc>
      </w:tr>
      <w:tr>
        <w:tc>
          <w:tcPr>
            <w:tcW w:type="dxa" w:w="2033"/>
          </w:tcPr>
          <w:p>
            <w:r>
              <w:t>0.6 / 2026-09-28</w:t>
            </w:r>
          </w:p>
        </w:tc>
        <w:tc>
          <w:tcPr>
            <w:tcW w:type="dxa" w:w="2033"/>
          </w:tcPr>
          <w:p>
            <w:r>
              <w:t>Curriculum-grounded teaching + falsification gate</w:t>
            </w:r>
          </w:p>
        </w:tc>
        <w:tc>
          <w:tcPr>
            <w:tcW w:type="dxa" w:w="2033"/>
          </w:tcPr>
          <w:p>
            <w:r>
              <w:t>Owner: teaching moments must sound like real Counter-Strike coaching; general curriculum lessons must be contextually applied; every apparent scenario should be actively challenged even when data looks strong.</w:t>
            </w:r>
          </w:p>
        </w:tc>
        <w:tc>
          <w:tcPr>
            <w:tcW w:type="dxa" w:w="2033"/>
          </w:tcPr>
          <w:p>
            <w:r>
              <w:t>Added ConceptApplicabilityContract candidate, internal-only curriculum rule, explicit counter-hypothesis/disconfirmation gate, downgrade/withhold outcomes and counterexample requirement.</w:t>
            </w:r>
          </w:p>
        </w:tc>
        <w:tc>
          <w:tcPr>
            <w:tcW w:type="dxa" w:w="2033"/>
          </w:tcPr>
          <w:p>
            <w:r>
              <w:t>Build V4-B.1 teaching-evidence/falsification contracts and test support-context teaching against confirming and disconfirming rounds.</w:t>
            </w:r>
          </w:p>
        </w:tc>
      </w:tr>
      <w:tr>
        <w:tc>
          <w:tcPr>
            <w:tcW w:type="dxa" w:w="2033"/>
          </w:tcPr>
          <w:p>
            <w:r>
              <w:t>0.7 / 2026-09-28</w:t>
            </w:r>
          </w:p>
        </w:tc>
        <w:tc>
          <w:tcPr>
            <w:tcW w:type="dxa" w:w="2033"/>
          </w:tcPr>
          <w:p>
            <w:r>
              <w:t>V4-B.1 package preparation / executable anti-regression</w:t>
            </w:r>
          </w:p>
        </w:tc>
        <w:tc>
          <w:tcPr>
            <w:tcW w:type="dxa" w:w="2033"/>
          </w:tcPr>
          <w:p>
            <w:r>
              <w:t>Local integration PASS: 34 guardrails, 18 negative fixtures; falsification outcome INSUFFICIENT_EVIDENCE; recurrence preserved while current ACTION semantics are blocked.</w:t>
            </w:r>
          </w:p>
        </w:tc>
        <w:tc>
          <w:tcPr>
            <w:tcW w:type="dxa" w:w="2033"/>
          </w:tcPr>
          <w:p>
            <w:r>
              <w:t>Converted prior lessons into executable regression/falsification gates and adversarially audited the frozen six instead of trusting the old teaching story.</w:t>
            </w:r>
          </w:p>
        </w:tc>
        <w:tc>
          <w:tcPr>
            <w:tcW w:type="dxa" w:w="2033"/>
          </w:tcPr>
          <w:p>
            <w:r>
              <w:t>Run V4-B.1 and return V4B1_ai_handoff.json; if PASS, build context-aware student/reference sets.</w:t>
            </w:r>
          </w:p>
        </w:tc>
      </w:tr>
      <w:tr>
        <w:tc>
          <w:tcPr>
            <w:tcW w:type="dxa" w:w="2033"/>
          </w:tcPr>
          <w:p>
            <w:r>
              <w:t>0.8 / 2026-09-28</w:t>
            </w:r>
          </w:p>
        </w:tc>
        <w:tc>
          <w:tcPr>
            <w:tcW w:type="dxa" w:w="2033"/>
          </w:tcPr>
          <w:p>
            <w:r>
              <w:t>V4-B.1 demonstrated / V4-B.2 candidate-pool package</w:t>
            </w:r>
          </w:p>
        </w:tc>
        <w:tc>
          <w:tcPr>
            <w:tcW w:type="dxa" w:w="2033"/>
          </w:tcPr>
          <w:p>
            <w:r>
              <w:t>Returned V4-B.1 PASS: 34 guardrails, 18/18 rejection fixtures, ACTION blocked with INSUFFICIENT_EVIDENCE; V4-B.2 synthetic self-test PASS.</w:t>
            </w:r>
          </w:p>
        </w:tc>
        <w:tc>
          <w:tcPr>
            <w:tcW w:type="dxa" w:w="2033"/>
          </w:tcPr>
          <w:p>
            <w:r>
              <w:t>Marked B1 demonstrated; prepared full-population falsification-first student/tournament candidate selector; pro-PUG identity registry remains explicit dependency.</w:t>
            </w:r>
          </w:p>
        </w:tc>
        <w:tc>
          <w:tcPr>
            <w:tcW w:type="dxa" w:w="2033"/>
          </w:tcPr>
          <w:p>
            <w:r>
              <w:t>Run V4-B.2 and return V4B2_ai_handoff.json.</w:t>
            </w:r>
          </w:p>
        </w:tc>
      </w:tr>
      <w:tr>
        <w:tc>
          <w:tcPr>
            <w:tcW w:type="dxa" w:w="2033"/>
          </w:tcPr>
          <w:p>
            <w:r>
              <w:t>0.9 / 2026-09-28</w:t>
            </w:r>
          </w:p>
        </w:tc>
        <w:tc>
          <w:tcPr>
            <w:tcW w:type="dxa" w:w="2033"/>
          </w:tcPr>
          <w:p>
            <w:r>
              <w:t>V4-B.2 demonstrated / V4-B.3 context enrichment multichat package</w:t>
            </w:r>
          </w:p>
        </w:tc>
        <w:tc>
          <w:tcPr>
            <w:tcW w:type="dxa" w:w="2033"/>
          </w:tcPr>
          <w:p>
            <w:r>
              <w:t>Returned V4-B.2 PASS: 1,004 student rows / 83 demos; 30,509 tournament rows / 253 demos / 135 players; counterexample quadrants present in both; 34 inherited guardrails + 9/9 B2 fixtures.</w:t>
            </w:r>
          </w:p>
        </w:tc>
        <w:tc>
          <w:tcPr>
            <w:tcW w:type="dxa" w:w="2033"/>
          </w:tcPr>
          <w:p>
            <w:r>
              <w:t>Marked B2 demonstrated; prepared multiprocessing cached context enrichment plus three independent manual falsification reviews; validator cannot restore ACTION and pro-PUG identity remains an explicit dependency.</w:t>
            </w:r>
          </w:p>
        </w:tc>
        <w:tc>
          <w:tcPr>
            <w:tcW w:type="dxa" w:w="2033"/>
          </w:tcPr>
          <w:p>
            <w:r>
              <w:t>Run V4-B.3, complete three fresh-chat reviews, validate, return V4B3_ai_handoff.json.</w:t>
            </w:r>
          </w:p>
        </w:tc>
      </w:tr>
      <w:tr>
        <w:tc>
          <w:tcPr>
            <w:tcW w:type="dxa" w:w="2033"/>
          </w:tcPr>
          <w:p>
            <w:r>
              <w:t>1.0 / 2026-09-28</w:t>
            </w:r>
          </w:p>
        </w:tc>
        <w:tc>
          <w:tcPr>
            <w:tcW w:type="dxa" w:w="2033"/>
          </w:tcPr>
          <w:p>
            <w:r>
              <w:t>V4-B.3 demonstrated semantic stop / V4-V1 viewer playback package</w:t>
            </w:r>
          </w:p>
        </w:tc>
        <w:tc>
          <w:tcPr>
            <w:tcW w:type="dxa" w:w="2033"/>
          </w:tcPr>
          <w:p>
            <w:r>
              <w:t>Returned B3 V4B3_PASS_REVIEW_BLOCKS_ACTION: 3/3 reviewers INSUFFICIENT_EVIDENCE, ACTION blocked, guardrails confirmed; V4-V1 self-test PASS.</w:t>
            </w:r>
          </w:p>
        </w:tc>
        <w:tc>
          <w:tcPr>
            <w:tcW w:type="dxa" w:w="2033"/>
          </w:tcPr>
          <w:p>
            <w:r>
              <w:t>Quarantined current support ACTION interpretation; moved to independent temporal Viewer2D track with machine-readable blocked concept status.</w:t>
            </w:r>
          </w:p>
        </w:tc>
        <w:tc>
          <w:tcPr>
            <w:tcW w:type="dxa" w:w="2033"/>
          </w:tcPr>
          <w:p>
            <w:r>
              <w:t>Run V4-V1, inspect playback UX only, return V4V1_ai_handoff.json.</w:t>
            </w:r>
          </w:p>
        </w:tc>
      </w:tr>
      <w:tr>
        <w:tc>
          <w:tcPr>
            <w:tcW w:type="dxa" w:w="2033"/>
          </w:tcPr>
          <w:p>
            <w:r>
              <w:t>1.1 / 2026-09-28</w:t>
            </w:r>
          </w:p>
        </w:tc>
        <w:tc>
          <w:tcPr>
            <w:tcW w:type="dxa" w:w="2033"/>
          </w:tcPr>
          <w:p>
            <w:r>
              <w:t>V4-V1 standalone-file loader repair</w:t>
            </w:r>
          </w:p>
        </w:tc>
        <w:tc>
          <w:tcPr>
            <w:tcW w:type="dxa" w:w="2033"/>
          </w:tcPr>
          <w:p>
            <w:r>
              <w:t>User hit browser file:// fetch NetworkError when opening generated viewer; root cause is local-file fetch restriction, not evidence-state failure.</w:t>
            </w:r>
          </w:p>
        </w:tc>
        <w:tc>
          <w:tcPr>
            <w:tcW w:type="dxa" w:w="2033"/>
          </w:tcPr>
          <w:p>
            <w:r>
              <w:t>Replaced sibling-JSON fetch with safely embedded standalone viewer data; semantic contracts unchanged.</w:t>
            </w:r>
          </w:p>
        </w:tc>
        <w:tc>
          <w:tcPr>
            <w:tcW w:type="dxa" w:w="2033"/>
          </w:tcPr>
          <w:p>
            <w:r>
              <w:t>Run CS2Coach_V4V1_TEMPORAL_VIEWER2D_FOUNDATION_v0.1.1.zip, inspect playback UX only, return V4V1_ai_handoff.json.</w:t>
            </w:r>
          </w:p>
        </w:tc>
      </w:tr>
      <w:tr>
        <w:tc>
          <w:tcPr>
            <w:tcW w:type="dxa" w:w="2033"/>
          </w:tcPr>
          <w:p>
            <w:r>
              <w:t>1.2 / 2026-09-28</w:t>
            </w:r>
          </w:p>
        </w:tc>
        <w:tc>
          <w:tcPr>
            <w:tcW w:type="dxa" w:w="2033"/>
          </w:tcPr>
          <w:p>
            <w:r>
              <w:t>V4-V1 human UX review / V4-V2 map dual-pane package</w:t>
            </w:r>
          </w:p>
        </w:tc>
        <w:tc>
          <w:tcPr>
            <w:tcW w:type="dxa" w:w="2033"/>
          </w:tcPr>
          <w:p>
            <w:r>
              <w:t>Owner: temporal playback much better but mapless playback lacks practical value; literal names + T/CT colors preferred; place/role labels and pre/post/death buttons removed; student/pro side-by-side desired.</w:t>
            </w:r>
          </w:p>
        </w:tc>
        <w:tc>
          <w:tcPr>
            <w:tcW w:type="dxa" w:w="2033"/>
          </w:tcPr>
          <w:p>
            <w:r>
              <w:t>Recorded Viewer2D UX rules; prepared current-radar orientation-only dual-pane viewer; KeyMoment deferred; historical map evidence rule preserved.</w:t>
            </w:r>
          </w:p>
        </w:tc>
        <w:tc>
          <w:tcPr>
            <w:tcW w:type="dxa" w:w="2033"/>
          </w:tcPr>
          <w:p>
            <w:r>
              <w:t>Run V4-V2, inspect map + side-by-side UX, return V4V2_ai_handoff.json.</w:t>
            </w:r>
          </w:p>
        </w:tc>
      </w:tr>
    </w:tbl>
    <w:p>
      <w:pPr>
        <w:pStyle w:val="Heading1"/>
        <w:spacing w:after="80" w:line="259" w:lineRule="auto"/>
      </w:pPr>
      <w:r>
        <w:t>12. Stage 5 new-chat startup checklist</w:t>
      </w:r>
    </w:p>
    <w:p>
      <w:pPr>
        <w:pStyle w:val="ListBullet"/>
        <w:spacing w:after="40" w:line="252" w:lineRule="auto"/>
      </w:pPr>
      <w:r>
        <w:t>Read this living brief.</w:t>
      </w:r>
    </w:p>
    <w:p>
      <w:pPr>
        <w:pStyle w:val="ListBullet"/>
        <w:spacing w:after="40" w:line="252" w:lineRule="auto"/>
      </w:pPr>
      <w:r>
        <w:t>Read CS2_Demo_Intelligence_Master_Architecture_v4.1_CONTROL_PLANE_HARDENED_DRAFT.docx.</w:t>
      </w:r>
    </w:p>
    <w:p>
      <w:pPr>
        <w:pStyle w:val="ListBullet"/>
        <w:spacing w:after="40" w:line="252" w:lineRule="auto"/>
      </w:pPr>
      <w:r>
        <w:t>Read the Stage 1-4 Evolution Record when historical rationale or a prior failure matters.</w:t>
      </w:r>
    </w:p>
    <w:p>
      <w:pPr>
        <w:pStyle w:val="ListBullet"/>
        <w:spacing w:after="40" w:line="252" w:lineRule="auto"/>
      </w:pPr>
      <w:r>
        <w:t>Inspect the latest returned *_ai_handoff.json before proposing code. Do not rely only on prose summaries.</w:t>
      </w:r>
    </w:p>
    <w:p>
      <w:pPr>
        <w:pStyle w:val="ListBullet"/>
        <w:spacing w:after="40" w:line="252" w:lineRule="auto"/>
      </w:pPr>
      <w:r>
        <w:t>Treat v3.1 as authoritative until an explicit V4 freeze note exists.</w:t>
      </w:r>
    </w:p>
    <w:p>
      <w:pPr>
        <w:pStyle w:val="ListBullet"/>
        <w:spacing w:after="40" w:line="252" w:lineRule="auto"/>
      </w:pPr>
      <w:r>
        <w:t>Do not broaden Viewer2D, longitudinal claims, teaching eligibility, or module inventory merely because the V4.1 draft names possible future objects.</w:t>
      </w:r>
    </w:p>
    <w:p>
      <w:pPr>
        <w:pStyle w:val="ListBullet"/>
        <w:spacing w:after="40" w:line="252" w:lineRule="auto"/>
      </w:pPr>
      <w:r>
        <w:t>Prefer a narrow experiment that can fail loudly and teach the architecture something.</w:t>
      </w:r>
    </w:p>
    <w:p>
      <w:pPr>
        <w:pStyle w:val="ListBullet"/>
        <w:spacing w:after="40" w:line="252" w:lineRule="auto"/>
      </w:pPr>
      <w:r>
        <w:t>After the step is complete, update THIS living brief before moving on.</w:t>
      </w:r>
    </w:p>
    <w:tbl>
      <w:tblPr>
        <w:tblW w:type="auto" w:w="0"/>
        <w:jc w:val="center"/>
        <w:tblLayout w:type="autofit"/>
        <w:tblLook w:firstColumn="1" w:firstRow="1" w:lastColumn="0" w:lastRow="0" w:noHBand="0" w:noVBand="1" w:val="04A0"/>
      </w:tblPr>
      <w:tblGrid>
        <w:gridCol w:w="10166"/>
      </w:tblGrid>
      <w:tr>
        <w:tc>
          <w:tcPr>
            <w:tcW w:type="dxa" w:w="10166"/>
            <w:shd w:fill="DFF2E5"/>
            <w:tcMar>
              <w:top w:w="120" w:type="dxa"/>
              <w:start w:w="140" w:type="dxa"/>
              <w:bottom w:w="120" w:type="dxa"/>
              <w:end w:w="140" w:type="dxa"/>
            </w:tcMar>
          </w:tcPr>
          <w:p>
            <w:r>
              <w:t>READY-TO-PASTE STAGE 5 ORIENTATION</w:t>
              <w:br/>
              <w:t>Continue the CS2 Demo Intelligence project at Stage 5. Read this living brief, then V4.1, then the latest handoff JSON. v3.1 remains active baseline; V4.1 is candidate. V4-A, V4-B.1, V4-B.2 and V4-B.3 passed; fight_consequence_support_context_v1 remains ACTION_BLOCKED. V4-V1 human review says temporal playback is materially better, but mapless playback is still too difficult to interpret. The immediate experiment is CS2Coach_V4V2_MAP_DUAL_PANE_VIEWER_v0.1.0.zip: a map-backed side-by-side Student / Pro-match viewer with literal player names, T/CT colors, independent dropdowns and minimal playback controls. Current AWPy radar is orientation/presentation only; historical compatibility is unproven and it cannot supply evidence or alter TeachingEligibility. Do not show FOCAL/attacker/teammate role words or place labels; remove Pre-window/Post-window/Death controls. Key Moment remains absent until a separate contract exists. Pro-PUG references still require a canonical professional identity registry. Update this brief after every meaningful step.</w:t>
            </w:r>
          </w:p>
        </w:tc>
      </w:tr>
    </w:tbl>
    <w:p>
      <w:pPr>
        <w:spacing w:after="20"/>
      </w:pPr>
    </w:p>
    <w:p>
      <w:pPr>
        <w:pStyle w:val="Heading1"/>
        <w:spacing w:after="80" w:line="259" w:lineRule="auto"/>
      </w:pPr>
      <w:r>
        <w:t>13. Key continuity artifacts</w:t>
      </w:r>
    </w:p>
    <w:p>
      <w:pPr>
        <w:pStyle w:val="ListBullet"/>
        <w:spacing w:after="40" w:line="252" w:lineRule="auto"/>
      </w:pPr>
      <w:r>
        <w:t>CS2_Demo_Intelligence_Master_Architecture_v4.1_CONTROL_PLANE_HARDENED_DRAFT.docx - current non-frozen architecture draft.</w:t>
      </w:r>
    </w:p>
    <w:p>
      <w:pPr>
        <w:pStyle w:val="ListBullet"/>
        <w:spacing w:after="40" w:line="252" w:lineRule="auto"/>
      </w:pPr>
      <w:r>
        <w:t>CS2_Demo_Intelligence_Stage1_to_Stage4_Evolution_Record_v1.0.docx - comprehensive descriptive history and lessons.</w:t>
      </w:r>
    </w:p>
    <w:p>
      <w:pPr>
        <w:pStyle w:val="ListBullet"/>
        <w:spacing w:after="40" w:line="252" w:lineRule="auto"/>
      </w:pPr>
      <w:r>
        <w:t>CS2_Demo_Intelligence_Master_Architecture_v3.1_BIAS_CONTROLLED_BASELINE.docx - active baseline until explicit supersession.</w:t>
      </w:r>
    </w:p>
    <w:p>
      <w:pPr>
        <w:pStyle w:val="ListBullet"/>
        <w:spacing w:after="40" w:line="252" w:lineRule="auto"/>
      </w:pPr>
      <w:r>
        <w:t>V3D1 through V3D4.1 handoffs under Development\Steps - empirical Player Study / bounded-AI / UX lineage.</w:t>
      </w:r>
    </w:p>
    <w:p>
      <w:pPr>
        <w:pStyle w:val="ListBullet"/>
        <w:spacing w:after="40" w:line="252" w:lineRule="auto"/>
      </w:pPr>
      <w:r>
        <w:t>M121/M122/M123 handoffs - bounded Personal Coaching loop, replay viewer and radar-provenance lineage.</w:t>
      </w:r>
    </w:p>
    <w:p>
      <w:pPr>
        <w:pStyle w:val="ListBullet"/>
        <w:spacing w:after="40" w:line="252" w:lineRule="auto"/>
      </w:pPr>
      <w:r>
        <w:t>V3-B2 handoff / v0.2 shared core - current repaired evidence-core lineage.</w:t>
      </w:r>
    </w:p>
    <w:p>
      <w:pPr>
        <w:pStyle w:val="ListBullet"/>
        <w:spacing w:after="40" w:line="252" w:lineRule="auto"/>
      </w:pPr>
      <w:r>
        <w:t>The consultant records used for V4.1 are advisory; the consultant v1.1 record explicitly supersedes that same consultant’s v1.0 opinion.</w:t>
      </w:r>
    </w:p>
    <w:p>
      <w:pPr>
        <w:pStyle w:val="Heading1"/>
      </w:pPr>
      <w:r>
        <w:t>14. Current Stage 5 execution state</w:t>
      </w:r>
    </w:p>
    <w:tbl>
      <w:tblPr>
        <w:tblStyle w:val="TableGrid"/>
        <w:tblW w:type="auto" w:w="0"/>
        <w:tblLook w:firstColumn="1" w:firstRow="1" w:lastColumn="0" w:lastRow="0" w:noHBand="0" w:noVBand="1" w:val="04A0"/>
      </w:tblPr>
      <w:tblGrid>
        <w:gridCol w:w="5083"/>
        <w:gridCol w:w="5083"/>
      </w:tblGrid>
      <w:tr>
        <w:tc>
          <w:tcPr>
            <w:tcW w:type="dxa" w:w="5083"/>
          </w:tcPr>
          <w:p>
            <w:r>
              <w:t>Current package</w:t>
            </w:r>
          </w:p>
        </w:tc>
        <w:tc>
          <w:tcPr>
            <w:tcW w:type="dxa" w:w="5083"/>
          </w:tcPr>
          <w:p>
            <w:r>
              <w:t>CS2Coach_V4V2_MAP_DUAL_PANE_VIEWER_v0.1.0.zip</w:t>
            </w:r>
          </w:p>
        </w:tc>
      </w:tr>
      <w:tr>
        <w:tc>
          <w:tcPr>
            <w:tcW w:type="dxa" w:w="5083"/>
          </w:tcPr>
          <w:p>
            <w:r>
              <w:t>SHA-256</w:t>
            </w:r>
          </w:p>
        </w:tc>
        <w:tc>
          <w:tcPr>
            <w:tcW w:type="dxa" w:w="5083"/>
          </w:tcPr>
          <w:p>
            <w:r>
              <w:t>23d815fb30da1d33c0d53eea859f2fe8e3bc19332671d5e0f3094c39c2147480</w:t>
            </w:r>
          </w:p>
        </w:tc>
      </w:tr>
      <w:tr>
        <w:tc>
          <w:tcPr>
            <w:tcW w:type="dxa" w:w="5083"/>
          </w:tcPr>
          <w:p>
            <w:r>
              <w:t>Local package self-test</w:t>
            </w:r>
          </w:p>
        </w:tc>
        <w:tc>
          <w:tcPr>
            <w:tcW w:type="dxa" w:w="5083"/>
          </w:tcPr>
          <w:p>
            <w:r>
              <w:t>PASS - source compile + synthetic map-transform/viewer-contract self-test; real AWPy map binding awaits user environment</w:t>
            </w:r>
          </w:p>
        </w:tc>
      </w:tr>
      <w:tr>
        <w:tc>
          <w:tcPr>
            <w:tcW w:type="dxa" w:w="5083"/>
          </w:tcPr>
          <w:p>
            <w:r>
              <w:t>User-environment status</w:t>
            </w:r>
          </w:p>
        </w:tc>
        <w:tc>
          <w:tcPr>
            <w:tcW w:type="dxa" w:w="5083"/>
          </w:tcPr>
          <w:p>
            <w:r>
              <w:t>PENDING - run V4-V2, inspect map-backed side-by-side viewer, return V4V2_ai_handoff.json</w:t>
            </w:r>
          </w:p>
        </w:tc>
      </w:tr>
      <w:tr>
        <w:tc>
          <w:tcPr>
            <w:tcW w:type="dxa" w:w="5083"/>
          </w:tcPr>
          <w:p>
            <w:r>
              <w:t>Scope</w:t>
            </w:r>
          </w:p>
        </w:tc>
        <w:tc>
          <w:tcPr>
            <w:tcW w:type="dxa" w:w="5083"/>
          </w:tcPr>
          <w:p>
            <w:r>
              <w:t>Presentation-only current AWPy radar orientation layer; historical compatibility unproven; map background cannot become tactical evidence or change TeachingEligibility.</w:t>
            </w:r>
          </w:p>
        </w:tc>
      </w:tr>
      <w:tr>
        <w:tc>
          <w:tcPr>
            <w:tcW w:type="dxa" w:w="5083"/>
          </w:tcPr>
          <w:p>
            <w:r>
              <w:t>Immediate next action</w:t>
            </w:r>
          </w:p>
        </w:tc>
        <w:tc>
          <w:tcPr>
            <w:tcW w:type="dxa" w:w="5083"/>
          </w:tcPr>
          <w:p>
            <w:r>
              <w:t>Run V4-V2; inspect V4V2_dual_map_viewer.html; return Development\Steps\V4V2_MAP_DUAL_PANE_VIEWER\V4V2_ai_handoff.json</w:t>
            </w:r>
          </w:p>
        </w:tc>
      </w:tr>
    </w:tbl>
    <w:sectPr w:rsidR="00FC693F" w:rsidRPr="0006063C" w:rsidSect="00034616">
      <w:headerReference w:type="default" r:id="rId9"/>
      <w:footerReference w:type="default" r:id="rId10"/>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E6A75"/>
        <w:sz w:val="16"/>
      </w:rPr>
      <w:t xml:space="preserve">Living handoff - update after every completed step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F80ED"/>
        <w:sz w:val="16"/>
      </w:rPr>
      <w:t>CS2 DEMO INTELLIGENCE  |  STAGE 5 LIVING ONBOARDING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2A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D1B2A"/>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73A5E"/>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73A5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0D1B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