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2A6E4" w14:textId="77777777" w:rsidR="00444B17" w:rsidRDefault="00444B17" w:rsidP="00164273">
      <w:pPr>
        <w:spacing w:after="40"/>
        <w:jc w:val="center"/>
        <w:rPr>
          <w:rFonts w:ascii="Times New Roman" w:eastAsia="Times New Roman" w:hAnsi="Times New Roman"/>
          <w:b/>
          <w:sz w:val="32"/>
          <w:szCs w:val="32"/>
        </w:rPr>
      </w:pPr>
      <w:r w:rsidRPr="00736E2C">
        <w:rPr>
          <w:rFonts w:ascii="Times New Roman" w:eastAsia="Times New Roman" w:hAnsi="Times New Roman"/>
          <w:b/>
          <w:sz w:val="32"/>
          <w:szCs w:val="32"/>
        </w:rPr>
        <w:t xml:space="preserve">Trustworthy Explanations for Student Dropout Risk: Comparing </w:t>
      </w:r>
    </w:p>
    <w:p w14:paraId="760960FA" w14:textId="77777777" w:rsidR="00444B17" w:rsidRPr="00736E2C" w:rsidRDefault="00444B17" w:rsidP="00164273">
      <w:pPr>
        <w:spacing w:after="40"/>
        <w:jc w:val="center"/>
        <w:rPr>
          <w:b/>
          <w:sz w:val="32"/>
          <w:szCs w:val="32"/>
        </w:rPr>
      </w:pPr>
      <w:r w:rsidRPr="00736E2C">
        <w:rPr>
          <w:rFonts w:ascii="Times New Roman" w:eastAsia="Times New Roman" w:hAnsi="Times New Roman"/>
          <w:b/>
          <w:sz w:val="32"/>
          <w:szCs w:val="32"/>
        </w:rPr>
        <w:t>Black-Box and Interpretable Models</w:t>
      </w:r>
    </w:p>
    <w:p w14:paraId="60DA433D" w14:textId="77777777" w:rsidR="00444B17" w:rsidRDefault="00444B17" w:rsidP="00164273">
      <w:pPr>
        <w:spacing w:after="80"/>
        <w:jc w:val="both"/>
        <w:rPr>
          <w:rFonts w:ascii="Times New Roman" w:eastAsia="Times New Roman" w:hAnsi="Times New Roman"/>
          <w:i/>
          <w:iCs/>
          <w:sz w:val="20"/>
          <w:szCs w:val="20"/>
        </w:rPr>
      </w:pPr>
    </w:p>
    <w:p w14:paraId="30527512" w14:textId="77777777" w:rsidR="00444B17" w:rsidRPr="00736E2C" w:rsidRDefault="00444B17" w:rsidP="00164273">
      <w:pPr>
        <w:spacing w:after="80"/>
        <w:jc w:val="center"/>
        <w:rPr>
          <w:rFonts w:ascii="Times New Roman" w:eastAsia="Times New Roman" w:hAnsi="Times New Roman"/>
          <w:sz w:val="20"/>
          <w:szCs w:val="20"/>
        </w:rPr>
      </w:pPr>
      <w:r w:rsidRPr="00736E2C">
        <w:rPr>
          <w:rFonts w:ascii="Times New Roman" w:eastAsia="Times New Roman" w:hAnsi="Times New Roman"/>
          <w:sz w:val="20"/>
          <w:szCs w:val="20"/>
        </w:rPr>
        <w:t xml:space="preserve">Aye Khin </w:t>
      </w:r>
      <w:proofErr w:type="spellStart"/>
      <w:r w:rsidRPr="00736E2C">
        <w:rPr>
          <w:rFonts w:ascii="Times New Roman" w:eastAsia="Times New Roman" w:hAnsi="Times New Roman"/>
          <w:sz w:val="20"/>
          <w:szCs w:val="20"/>
        </w:rPr>
        <w:t>Khin</w:t>
      </w:r>
      <w:proofErr w:type="spellEnd"/>
      <w:r w:rsidRPr="00736E2C">
        <w:rPr>
          <w:rFonts w:ascii="Times New Roman" w:eastAsia="Times New Roman" w:hAnsi="Times New Roman"/>
          <w:sz w:val="20"/>
          <w:szCs w:val="20"/>
        </w:rPr>
        <w:t xml:space="preserve"> Hpone (Yolanda) </w:t>
      </w:r>
      <w:proofErr w:type="gramStart"/>
      <w:r w:rsidRPr="00736E2C">
        <w:rPr>
          <w:rFonts w:ascii="Times New Roman" w:eastAsia="Times New Roman" w:hAnsi="Times New Roman"/>
          <w:sz w:val="20"/>
          <w:szCs w:val="20"/>
        </w:rPr>
        <w:t xml:space="preserve">125970;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Nguyen</w:t>
      </w:r>
      <w:proofErr w:type="gramEnd"/>
      <w:r w:rsidRPr="00736E2C">
        <w:rPr>
          <w:rFonts w:ascii="Times New Roman" w:eastAsia="Times New Roman" w:hAnsi="Times New Roman"/>
          <w:sz w:val="20"/>
          <w:szCs w:val="20"/>
        </w:rPr>
        <w:t xml:space="preserve"> Liem Son (Lucas) 126729;</w:t>
      </w:r>
    </w:p>
    <w:p w14:paraId="6661FB51" w14:textId="77777777" w:rsidR="00444B17" w:rsidRPr="00736E2C" w:rsidRDefault="00444B17" w:rsidP="00164273">
      <w:pPr>
        <w:spacing w:after="80"/>
        <w:jc w:val="center"/>
        <w:rPr>
          <w:rFonts w:ascii="Times New Roman" w:eastAsia="Times New Roman" w:hAnsi="Times New Roman"/>
          <w:sz w:val="20"/>
          <w:szCs w:val="20"/>
        </w:rPr>
      </w:pPr>
      <w:proofErr w:type="spellStart"/>
      <w:r w:rsidRPr="00736E2C">
        <w:rPr>
          <w:rFonts w:ascii="Times New Roman" w:eastAsia="Times New Roman" w:hAnsi="Times New Roman"/>
          <w:sz w:val="20"/>
          <w:szCs w:val="20"/>
        </w:rPr>
        <w:t>Witchayda</w:t>
      </w:r>
      <w:proofErr w:type="spellEnd"/>
      <w:r w:rsidRPr="00736E2C">
        <w:rPr>
          <w:rFonts w:ascii="Times New Roman" w:eastAsia="Times New Roman" w:hAnsi="Times New Roman"/>
          <w:sz w:val="20"/>
          <w:szCs w:val="20"/>
        </w:rPr>
        <w:t xml:space="preserve"> </w:t>
      </w:r>
      <w:proofErr w:type="spellStart"/>
      <w:r w:rsidRPr="00736E2C">
        <w:rPr>
          <w:rFonts w:ascii="Times New Roman" w:eastAsia="Times New Roman" w:hAnsi="Times New Roman"/>
          <w:sz w:val="20"/>
          <w:szCs w:val="20"/>
        </w:rPr>
        <w:t>Theppithuk</w:t>
      </w:r>
      <w:proofErr w:type="spellEnd"/>
      <w:r w:rsidRPr="00736E2C">
        <w:rPr>
          <w:rFonts w:ascii="Times New Roman" w:eastAsia="Times New Roman" w:hAnsi="Times New Roman"/>
          <w:sz w:val="20"/>
          <w:szCs w:val="20"/>
        </w:rPr>
        <w:t xml:space="preserve"> (Noey) </w:t>
      </w:r>
      <w:proofErr w:type="gramStart"/>
      <w:r w:rsidRPr="00736E2C">
        <w:rPr>
          <w:rFonts w:ascii="Times New Roman" w:eastAsia="Times New Roman" w:hAnsi="Times New Roman"/>
          <w:sz w:val="20"/>
          <w:szCs w:val="20"/>
        </w:rPr>
        <w:t xml:space="preserve">127419;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Han</w:t>
      </w:r>
      <w:proofErr w:type="gramEnd"/>
      <w:r w:rsidRPr="00736E2C">
        <w:rPr>
          <w:rFonts w:ascii="Times New Roman" w:eastAsia="Times New Roman" w:hAnsi="Times New Roman"/>
          <w:sz w:val="20"/>
          <w:szCs w:val="20"/>
        </w:rPr>
        <w:t xml:space="preserve"> Htoo Zaw </w:t>
      </w:r>
      <w:proofErr w:type="gramStart"/>
      <w:r w:rsidRPr="00736E2C">
        <w:rPr>
          <w:rFonts w:ascii="Times New Roman" w:eastAsia="Times New Roman" w:hAnsi="Times New Roman"/>
          <w:sz w:val="20"/>
          <w:szCs w:val="20"/>
        </w:rPr>
        <w:t xml:space="preserve">127305;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Pyae</w:t>
      </w:r>
      <w:proofErr w:type="gramEnd"/>
      <w:r w:rsidRPr="00736E2C">
        <w:rPr>
          <w:rFonts w:ascii="Times New Roman" w:eastAsia="Times New Roman" w:hAnsi="Times New Roman"/>
          <w:sz w:val="20"/>
          <w:szCs w:val="20"/>
        </w:rPr>
        <w:t xml:space="preserve"> Sone Han 127366.</w:t>
      </w:r>
    </w:p>
    <w:p w14:paraId="0947A5E7" w14:textId="1CB43476" w:rsidR="00164273" w:rsidRPr="00164273" w:rsidRDefault="00C12AC8" w:rsidP="00164273">
      <w:pPr>
        <w:pStyle w:val="Heading1"/>
        <w:spacing w:before="240" w:after="80"/>
        <w:rPr>
          <w:sz w:val="22"/>
          <w:szCs w:val="22"/>
        </w:rPr>
      </w:pPr>
      <w:r w:rsidRPr="00444B17">
        <w:rPr>
          <w:rFonts w:ascii="Times New Roman" w:eastAsia="Times New Roman" w:hAnsi="Times New Roman"/>
          <w:color w:val="2C5F8A"/>
          <w:sz w:val="22"/>
          <w:szCs w:val="22"/>
        </w:rPr>
        <w:t>1. Introduction, Aim and Research Questions</w:t>
      </w:r>
    </w:p>
    <w:p w14:paraId="13D4B364" w14:textId="484D466B" w:rsidR="00A04479"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data from the UCI Predict Students' Dropout and Academic Success dataset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RQ1: does TabICL add predictive value over simpler baselines; RQ2: are its local explanations faithful and stable; RQ3: do they help users anticipate model outputs and identify feasible support actions? Real-data model results, explanation audits and human-study findings will be reported separately, and explanations will be presented as descriptions of model associations, not as causes of dropout.</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r w:rsidRPr="00444B17">
        <w:rPr>
          <w:rFonts w:ascii="Times New Roman" w:eastAsia="Times New Roman" w:hAnsi="Times New Roman"/>
          <w:b/>
          <w:bCs/>
          <w:sz w:val="20"/>
          <w:szCs w:val="20"/>
        </w:rPr>
      </w:r>
      <w:r w:rsidRPr="00444B17">
        <w:rPr>
          <w:rFonts w:ascii="Times New Roman" w:eastAsia="Times New Roman" w:hAnsi="Times New Roman"/>
          <w:sz w:val="20"/>
          <w:szCs w:val="20"/>
        </w:rPr>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r w:rsidRPr="00444B17">
        <w:rPr>
          <w:rFonts w:ascii="Times New Roman" w:eastAsia="Times New Roman" w:hAnsi="Times New Roman"/>
          <w:b/>
          <w:bCs/>
          <w:sz w:val="20"/>
          <w:szCs w:val="20"/>
        </w:rPr>
      </w:r>
      <w:r w:rsidRPr="00444B17">
        <w:rPr>
          <w:rFonts w:ascii="Times New Roman" w:eastAsia="Times New Roman" w:hAnsi="Times New Roman"/>
          <w:sz w:val="20"/>
          <w:szCs w:val="20"/>
        </w:rPr>
      </w:r>
      <w:r w:rsidRPr="00444B17">
        <w:rPr>
          <w:rFonts w:ascii="Times New Roman" w:eastAsia="Times New Roman" w:hAnsi="Times New Roman"/>
          <w:b/>
          <w:bCs/>
          <w:sz w:val="20"/>
          <w:szCs w:val="20"/>
        </w:rPr>
      </w:r>
      <w:r w:rsidRPr="00444B17">
        <w:rPr>
          <w:rFonts w:ascii="Times New Roman" w:eastAsia="Times New Roman" w:hAnsi="Times New Roman"/>
          <w:sz w:val="20"/>
          <w:szCs w:val="20"/>
        </w:rPr>
      </w:r>
    </w:p>
    <w:p w14:paraId="3C78AB86" w14:textId="77777777" w:rsidR="00164273" w:rsidRPr="00444B17" w:rsidRDefault="00164273" w:rsidP="00164273">
      <w:pPr>
        <w:jc w:val="both"/>
        <w:rPr>
          <w:sz w:val="20"/>
          <w:szCs w:val="20"/>
        </w:rPr>
      </w:pPr>
    </w:p>
    <w:p w14:paraId="61F2B18F" w14:textId="3E9B32FC" w:rsidR="00A04479" w:rsidRPr="00444B17" w:rsidRDefault="00000000" w:rsidP="00164273">
      <w:pPr>
        <w:jc w:val="both"/>
        <w:rPr>
          <w:sz w:val="20"/>
          <w:szCs w:val="20"/>
        </w:rPr>
      </w:pPr>
      <w:sdt>
        <w:sdtPr>
          <w:rPr>
            <w:sz w:val="20"/>
            <w:szCs w:val="20"/>
          </w:rPr>
          <w:tag w:val="goog_rdk_0"/>
          <w:id w:val="60917386"/>
          <w:showingPlcHdr/>
        </w:sdtPr>
        <w:sdtContent>
          <w:r w:rsidR="00164273">
            <w:rPr>
              <w:sz w:val="20"/>
              <w:szCs w:val="20"/>
            </w:rPr>
            <w:t xml:space="preserve">     </w:t>
          </w:r>
        </w:sdtContent>
      </w:sdt>
      <w:r w:rsidR="00C12AC8" w:rsidRPr="00444B17">
        <w:rPr>
          <w:rFonts w:ascii="Times New Roman" w:eastAsia="Times New Roman" w:hAnsi="Times New Roman"/>
          <w:sz w:val="20"/>
          <w:szCs w:val="20"/>
        </w:rPr>
        <w:t>All predictive modelling and explanation evaluation will use one openly licensed UCI dataset. Short, consented written responses from the human evaluation will form the only unstructured component and will remain linked to the study cases, keeping the prediction task, explanations and human evidence coherently connected.</w:t>
      </w:r>
    </w:p>
    <w:p w14:paraId="1EA8F435" w14:textId="52AD57F0" w:rsidR="00362165" w:rsidRPr="00362165" w:rsidRDefault="00C12AC8" w:rsidP="00362165">
      <w:pPr>
        <w:pStyle w:val="Heading1"/>
        <w:spacing w:before="240" w:after="80"/>
        <w:jc w:val="both"/>
        <w:rPr>
          <w:sz w:val="22"/>
          <w:szCs w:val="22"/>
        </w:rPr>
      </w:pPr>
      <w:r w:rsidRPr="00444B17">
        <w:rPr>
          <w:rFonts w:ascii="Times New Roman" w:eastAsia="Times New Roman" w:hAnsi="Times New Roman"/>
          <w:color w:val="2C5F8A"/>
          <w:sz w:val="22"/>
          <w:szCs w:val="22"/>
        </w:rPr>
        <w:t>2. Decision Context and Intended User</w:t>
      </w:r>
    </w:p>
    <w:p w14:paraId="30CD3645" w14:textId="65022742" w:rsidR="00A04479" w:rsidRPr="00444B17" w:rsidRDefault="00C12AC8" w:rsidP="00164273">
      <w:pPr>
        <w:jc w:val="both"/>
        <w:rPr>
          <w:sz w:val="20"/>
          <w:szCs w:val="20"/>
        </w:rPr>
      </w:pPr>
      <w:r w:rsidRPr="00444B17">
        <w:rPr>
          <w:rFonts w:ascii="Times New Roman" w:eastAsia="Times New Roman" w:hAnsi="Times New Roman"/>
          <w:sz w:val="20"/>
          <w:szCs w:val="20"/>
        </w:rPr>
        <w:t xml:space="preserve">The intended decision context is a university student-support officer considering currently enrolled first-year students immediately after first-semester results are </w:t>
      </w:r>
      <w:proofErr w:type="spellStart"/>
      <w:r w:rsidRPr="00444B17">
        <w:rPr>
          <w:rFonts w:ascii="Times New Roman" w:eastAsia="Times New Roman" w:hAnsi="Times New Roman"/>
          <w:sz w:val="20"/>
          <w:szCs w:val="20"/>
        </w:rPr>
        <w:t>finalised</w:t>
      </w:r>
      <w:proofErr w:type="spellEnd"/>
      <w:r w:rsidRPr="00444B17">
        <w:rPr>
          <w:rFonts w:ascii="Times New Roman" w:eastAsia="Times New Roman" w:hAnsi="Times New Roman"/>
          <w:sz w:val="20"/>
          <w:szCs w:val="20"/>
        </w:rPr>
        <w:t xml:space="preserve"> and before second-semester support decisions; this project will simulate th</w:t>
      </w:r>
      <w:r w:rsidR="00444B17">
        <w:rPr>
          <w:rFonts w:ascii="Times New Roman" w:eastAsia="Times New Roman" w:hAnsi="Times New Roman"/>
          <w:sz w:val="20"/>
          <w:szCs w:val="20"/>
        </w:rPr>
        <w:t>e</w:t>
      </w:r>
      <w:r w:rsidR="002339CF">
        <w:rPr>
          <w:rFonts w:ascii="Times New Roman" w:eastAsia="Times New Roman" w:hAnsi="Times New Roman"/>
          <w:sz w:val="20"/>
          <w:szCs w:val="20"/>
        </w:rPr>
        <w:t xml:space="preserve"> described</w:t>
      </w:r>
      <w:r w:rsidRPr="00444B17">
        <w:rPr>
          <w:rFonts w:ascii="Times New Roman" w:eastAsia="Times New Roman" w:hAnsi="Times New Roman"/>
          <w:sz w:val="20"/>
          <w:szCs w:val="20"/>
        </w:rPr>
        <w:t xml:space="preserve"> context using historical,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UCI cases. For a student flagged as high risk, the officer would decide whether to </w:t>
      </w:r>
      <w:proofErr w:type="spellStart"/>
      <w:r w:rsidRPr="00444B17">
        <w:rPr>
          <w:rFonts w:ascii="Times New Roman" w:eastAsia="Times New Roman" w:hAnsi="Times New Roman"/>
          <w:sz w:val="20"/>
          <w:szCs w:val="20"/>
        </w:rPr>
        <w:t>prioritise</w:t>
      </w:r>
      <w:proofErr w:type="spellEnd"/>
      <w:r w:rsidRPr="00444B17">
        <w:rPr>
          <w:rFonts w:ascii="Times New Roman" w:eastAsia="Times New Roman" w:hAnsi="Times New Roman"/>
          <w:sz w:val="20"/>
          <w:szCs w:val="20"/>
        </w:rPr>
        <w:t xml:space="preserv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14:paraId="4BA7CF6E"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3. Data Sources</w:t>
      </w:r>
    </w:p>
    <w:p w14:paraId="7FCD8B0B" w14:textId="77777777" w:rsidR="00A04479" w:rsidRPr="00444B17" w:rsidRDefault="00C12AC8" w:rsidP="00164273">
      <w:pPr>
        <w:jc w:val="both"/>
        <w:rPr>
          <w:sz w:val="20"/>
          <w:szCs w:val="20"/>
        </w:rPr>
      </w:pPr>
      <w:r w:rsidRPr="00444B17">
        <w:rPr>
          <w:rFonts w:ascii="Times New Roman" w:eastAsia="Times New Roman" w:hAnsi="Times New Roman"/>
          <w:b/>
          <w:bCs/>
          <w:sz w:val="20"/>
          <w:szCs w:val="20"/>
        </w:rPr>
        <w:t>Primary modelling data.</w:t>
      </w:r>
      <w:r w:rsidRPr="00444B17">
        <w:rPr>
          <w:rFonts w:ascii="Times New Roman" w:eastAsia="Times New Roman" w:hAnsi="Times New Roman"/>
          <w:sz w:val="20"/>
          <w:szCs w:val="20"/>
        </w:rPr>
        <w:t xml:space="preserve"> ‘Predict Students’ Dropout and Academic Success’ (</w:t>
      </w:r>
      <w:proofErr w:type="spellStart"/>
      <w:r w:rsidRPr="00444B17">
        <w:rPr>
          <w:rFonts w:ascii="Times New Roman" w:eastAsia="Times New Roman" w:hAnsi="Times New Roman"/>
          <w:sz w:val="20"/>
          <w:szCs w:val="20"/>
        </w:rPr>
        <w:t>Realinho</w:t>
      </w:r>
      <w:proofErr w:type="spellEnd"/>
      <w:r w:rsidRPr="00444B17">
        <w:rPr>
          <w:rFonts w:ascii="Times New Roman" w:eastAsia="Times New Roman" w:hAnsi="Times New Roman"/>
          <w:sz w:val="20"/>
          <w:szCs w:val="20"/>
        </w:rPr>
        <w:t>, Vieira Martins, Machado, &amp; Baptista, 2021), UCI Machine Learning Repository dataset 697, is distributed under CC BY 4.0 and documented in a peer-reviewed data paper (</w:t>
      </w:r>
      <w:proofErr w:type="spellStart"/>
      <w:r w:rsidRPr="00444B17">
        <w:rPr>
          <w:rFonts w:ascii="Times New Roman" w:eastAsia="Times New Roman" w:hAnsi="Times New Roman"/>
          <w:sz w:val="20"/>
          <w:szCs w:val="20"/>
        </w:rPr>
        <w:t>Realinho</w:t>
      </w:r>
      <w:proofErr w:type="spellEnd"/>
      <w:r w:rsidRPr="00444B17">
        <w:rPr>
          <w:rFonts w:ascii="Times New Roman" w:eastAsia="Times New Roman" w:hAnsi="Times New Roman"/>
          <w:sz w:val="20"/>
          <w:szCs w:val="20"/>
        </w:rPr>
        <w:t xml:space="preserve">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14:paraId="0AEFAE82" w14:textId="77777777" w:rsidR="00362165" w:rsidRDefault="00362165" w:rsidP="00164273">
      <w:pPr>
        <w:jc w:val="both"/>
        <w:rPr>
          <w:rFonts w:ascii="Times New Roman" w:eastAsia="Times New Roman" w:hAnsi="Times New Roman"/>
          <w:b/>
          <w:bCs/>
          <w:sz w:val="20"/>
          <w:szCs w:val="20"/>
        </w:rPr>
      </w:pPr>
    </w:p>
    <w:p w14:paraId="0B5C2E45" w14:textId="5F13855A" w:rsidR="00A04479" w:rsidRPr="00444B17" w:rsidRDefault="00C12AC8" w:rsidP="00164273">
      <w:pPr>
        <w:jc w:val="both"/>
        <w:rPr>
          <w:sz w:val="20"/>
          <w:szCs w:val="20"/>
        </w:rPr>
      </w:pPr>
      <w:r w:rsidRPr="00444B17">
        <w:rPr>
          <w:rFonts w:ascii="Times New Roman" w:eastAsia="Times New Roman" w:hAnsi="Times New Roman"/>
          <w:b/>
          <w:bCs/>
          <w:sz w:val="20"/>
          <w:szCs w:val="20"/>
        </w:rPr>
        <w:t>Prospective qualitative data.</w:t>
      </w:r>
      <w:r w:rsidRPr="00444B17">
        <w:rPr>
          <w:rFonts w:ascii="Times New Roman" w:eastAsia="Times New Roman" w:hAnsi="Times New Roman"/>
          <w:sz w:val="20"/>
          <w:szCs w:val="20"/>
        </w:rPr>
        <w:t xml:space="preserve"> A voluntary convenience sample from the Asian Institute of Technology (AIT) community will provide brief written rationales, suggested support actions and comments on missing information while evaluating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UCI cases. These consented,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responses will form the project's unstructured dataset, will be linked to pseudonymous participant and case IDs, and will be </w:t>
      </w:r>
      <w:proofErr w:type="spellStart"/>
      <w:r w:rsidRPr="00444B17">
        <w:rPr>
          <w:rFonts w:ascii="Times New Roman" w:eastAsia="Times New Roman" w:hAnsi="Times New Roman"/>
          <w:sz w:val="20"/>
          <w:szCs w:val="20"/>
        </w:rPr>
        <w:t>analysed</w:t>
      </w:r>
      <w:proofErr w:type="spellEnd"/>
      <w:r w:rsidRPr="00444B17">
        <w:rPr>
          <w:rFonts w:ascii="Times New Roman" w:eastAsia="Times New Roman" w:hAnsi="Times New Roman"/>
          <w:sz w:val="20"/>
          <w:szCs w:val="20"/>
        </w:rPr>
        <w:t xml:space="preserve"> qualitatively for comprehension, actionability and information gaps. No AIT student records will be collected, and responses will not enter the dropout model or be presented as explanations of real outcomes.</w:t>
      </w:r>
    </w:p>
    <w:p w14:paraId="6A67B78C"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4. Prediction Task and Study Design</w:t>
      </w:r>
    </w:p>
    <w:p w14:paraId="27F975B0" w14:textId="77777777" w:rsidR="00A04479" w:rsidRPr="00444B17" w:rsidRDefault="00C12AC8" w:rsidP="00164273">
      <w:pPr>
        <w:jc w:val="both"/>
        <w:rPr>
          <w:sz w:val="20"/>
          <w:szCs w:val="20"/>
        </w:rPr>
      </w:pPr>
      <w:r w:rsidRPr="00444B17">
        <w:rPr>
          <w:rFonts w:ascii="Times New Roman" w:eastAsia="Times New Roman" w:hAnsi="Times New Roman"/>
          <w:sz w:val="20"/>
          <w:szCs w:val="2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14:paraId="7C62AC21" w14:textId="77777777" w:rsidR="00362165" w:rsidRDefault="00362165" w:rsidP="00164273">
      <w:pPr>
        <w:jc w:val="both"/>
        <w:rPr>
          <w:rFonts w:ascii="Times New Roman" w:eastAsia="Times New Roman" w:hAnsi="Times New Roman"/>
          <w:sz w:val="20"/>
          <w:szCs w:val="20"/>
        </w:rPr>
      </w:pPr>
    </w:p>
    <w:p w14:paraId="2824B622" w14:textId="167AB446" w:rsidR="00A04479" w:rsidRPr="00362165"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The prediction time will be immediately after first-semester results. Only variables available by then will enter the model: enrolment/admission records, demographic and socio-economic fields, administrative status, macroeconomic indicators, and </w:t>
      </w:r>
      <w:r w:rsidRPr="00444B17">
        <w:rPr>
          <w:rFonts w:ascii="Times New Roman" w:eastAsia="Times New Roman" w:hAnsi="Times New Roman"/>
          <w:sz w:val="20"/>
          <w:szCs w:val="20"/>
        </w:rPr>
        <w:lastRenderedPageBreak/>
        <w:t>first-semester outcomes. Second-semester curricular variables will be excluded as temporal leakage. First-semester grades and approved units are predictive but already historical, so they will be treated as immutable in counterfactual recourse.</w:t>
      </w:r>
    </w:p>
    <w:p w14:paraId="236BFDFC"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5. Proposed Methodology</w:t>
      </w:r>
    </w:p>
    <w:p w14:paraId="00FB78E7"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5.1  Predictive</w:t>
      </w:r>
      <w:proofErr w:type="gramEnd"/>
      <w:r w:rsidRPr="00444B17">
        <w:rPr>
          <w:rFonts w:ascii="Times New Roman" w:eastAsia="Times New Roman" w:hAnsi="Times New Roman"/>
          <w:color w:val="1F2A44"/>
          <w:sz w:val="22"/>
          <w:szCs w:val="22"/>
        </w:rPr>
        <w:t xml:space="preserve"> Modelling and Evaluation</w:t>
      </w:r>
    </w:p>
    <w:p w14:paraId="241A7FA7" w14:textId="2398AB9D" w:rsidR="002339CF" w:rsidRDefault="008A73EA" w:rsidP="008C421D">
      <w:r w:rsidRPr="008C421D">
        <w:rPr>
          <w:rFonts w:ascii="Times New Roman" w:hAnsi="Times New Roman" w:cs="Times New Roman"/>
          <w:sz w:val="20"/>
        </w:rPr>
        <w:t xml:space="preserve">A fixed, stratified 70/15/15 train/validation/test split supports identical comparisons. Before test access, protocol amendments added a native main-effects Explainable Boosting Machine (EBM) and froze the audit rules without changing the split, seed, target, feature windows, capacity policy or evaluation rules. Validation ROC-AUC was 0.952 for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xml:space="preserve"> 2.2.0 (four estimators), 0.946 for EBM, 0.945 for logistic regression and </w:t>
      </w:r>
      <w:proofErr w:type="spellStart"/>
      <w:r w:rsidRPr="008C421D">
        <w:rPr>
          <w:rFonts w:ascii="Times New Roman" w:hAnsi="Times New Roman" w:cs="Times New Roman"/>
          <w:sz w:val="20"/>
        </w:rPr>
        <w:t>XGBoost</w:t>
      </w:r>
      <w:proofErr w:type="spellEnd"/>
      <w:r w:rsidRPr="008C421D">
        <w:rPr>
          <w:rFonts w:ascii="Times New Roman" w:hAnsi="Times New Roman" w:cs="Times New Roman"/>
          <w:sz w:val="20"/>
        </w:rPr>
        <w:t xml:space="preserve">, and 0.923 for a depth-3 tree. These validation-only results do not establish </w:t>
      </w:r>
      <w:proofErr w:type="spellStart"/>
      <w:r w:rsidRPr="008C421D">
        <w:rPr>
          <w:rFonts w:ascii="Times New Roman" w:hAnsi="Times New Roman" w:cs="Times New Roman"/>
          <w:sz w:val="20"/>
        </w:rPr>
        <w:t>TabICL's</w:t>
      </w:r>
      <w:proofErr w:type="spellEnd"/>
      <w:r w:rsidRPr="008C421D">
        <w:rPr>
          <w:rFonts w:ascii="Times New Roman" w:hAnsi="Times New Roman" w:cs="Times New Roman"/>
          <w:sz w:val="20"/>
        </w:rPr>
        <w:t xml:space="preserve"> superiority; its 0.006 validation ROC-AUC margin over EBM is modest. EBM uses raw named variables, explicit nominal types and no interactions; its additive-model rationale follows Lou et al. (2013). The policy ranks each cohort and flags the top 20% with stable tie-breaking; no universal probability threshold is claimed. At the validation top-20% capacity,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xml:space="preserve"> flagged 108 of 544 cases, achieving the capacity-limited maximum recall of 108/213 (0.507) with 1.000 precision. A separate admission-time validation comparison, using only enrolment/admission features and excluding first-semester outcomes, gave ROC-AUCs of 0.8753 for EBM, 0.8752 for </w:t>
      </w:r>
      <w:proofErr w:type="spellStart"/>
      <w:r w:rsidRPr="008C421D">
        <w:rPr>
          <w:rFonts w:ascii="Times New Roman" w:hAnsi="Times New Roman" w:cs="Times New Roman"/>
          <w:sz w:val="20"/>
        </w:rPr>
        <w:t>XGBoost</w:t>
      </w:r>
      <w:proofErr w:type="spellEnd"/>
      <w:r w:rsidRPr="008C421D">
        <w:rPr>
          <w:rFonts w:ascii="Times New Roman" w:hAnsi="Times New Roman" w:cs="Times New Roman"/>
          <w:sz w:val="20"/>
        </w:rPr>
        <w:t xml:space="preserve"> and 0.8739 for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these are not the primary post-first-semester task results. After all model and explanation choices are frozen, one final same-test-set evaluation will report discrimination, capacity metrics, calibration, runtime and paired 2,000-resample bootstrap intervals for model differences. The pre-specified top-20% capacity will remain the primary operating point; any alternative capacities will be supplementary.</w:t>
      </w:r>
    </w:p>
    <w:p w14:paraId="76E2B348" w14:textId="57990325"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5.2  Explanation</w:t>
      </w:r>
      <w:proofErr w:type="gramEnd"/>
      <w:r w:rsidRPr="00444B17">
        <w:rPr>
          <w:rFonts w:ascii="Times New Roman" w:eastAsia="Times New Roman" w:hAnsi="Times New Roman"/>
          <w:color w:val="1F2A44"/>
          <w:sz w:val="22"/>
          <w:szCs w:val="22"/>
        </w:rPr>
        <w:t xml:space="preserve"> Method and Faithfulness Evaluation</w:t>
      </w:r>
    </w:p>
    <w:p w14:paraId="7204DA7F" w14:textId="2D3ABC53" w:rsidR="00A04479" w:rsidRPr="00444B17" w:rsidRDefault="008A73EA" w:rsidP="008A73EA">
      <w:pPr>
        <w:jc w:val="both"/>
        <w:rPr>
          <w:sz w:val="20"/>
          <w:szCs w:val="20"/>
        </w:rPr>
      </w:pPr>
      <w:r w:rsidRPr="008A73EA">
        <w:rPr>
          <w:rFonts w:ascii="Times New Roman" w:eastAsia="Times New Roman" w:hAnsi="Times New Roman" w:cs="Times New Roman"/>
          <w:sz w:val="20"/>
          <w:szCs w:val="20"/>
        </w:rPr>
        <w:t>As a TFM is not a tree ensemble, TreeSHAP exactness will not be claimed. Model-agnostic permutation SHAP (Lundberg &amp; Lee, 2017) will explain dropout probability using 25 training-only background rows and a max_evals budget of 67 model evaluations per explained case; 67 is the explainer budget, not a count of cases. The local faithfulness and stability audits will use the same 20 cases described in Section 5.3, selected from the validation split by predicted-risk stratum using predictions only, so neither test data nor outcome labels influence case selection or tuning. 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model reliance, not intervention, and attributions describe model associations, not causes of dropout. Validation checks reconstructed TabICL probabilities within 4.1e-8 and recovered known white-box attribution ranks with Spearman 1.0. Grouped permutation importance will supply global reliance, while ALE will examine three validation-selected numerical effects with less off-manifold risk than PDP under correlation.</w:t>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
    <w:p w14:paraId="3F3F3864"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5.3  Explanation</w:t>
      </w:r>
      <w:proofErr w:type="gramEnd"/>
      <w:r w:rsidRPr="00444B17">
        <w:rPr>
          <w:rFonts w:ascii="Times New Roman" w:eastAsia="Times New Roman" w:hAnsi="Times New Roman"/>
          <w:color w:val="1F2A44"/>
          <w:sz w:val="22"/>
          <w:szCs w:val="22"/>
        </w:rPr>
        <w:t xml:space="preserve"> Stability Evaluation</w:t>
      </w:r>
    </w:p>
    <w:p w14:paraId="776330B6" w14:textId="2B293960" w:rsidR="00A04479" w:rsidRPr="00444B17" w:rsidRDefault="008A73EA" w:rsidP="008A73EA">
      <w:pPr>
        <w:jc w:val="both"/>
        <w:rPr>
          <w:sz w:val="20"/>
          <w:szCs w:val="20"/>
        </w:rPr>
      </w:pPr>
      <w:r w:rsidRPr="008A73EA">
        <w:rPr>
          <w:rFonts w:ascii="Times New Roman" w:eastAsia="Times New Roman" w:hAnsi="Times New Roman" w:cs="Times New Roman"/>
          <w:sz w:val="20"/>
          <w:szCs w:val="20"/>
        </w:rPr>
        <w:t>The stability and local faithfulness evaluations will use the same 20 validation cases, selected deterministically by taking four cases from each of five predicted-risk strata; selection uses predictions only and never outcome labels, and the test split stays unopened.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(Tiukhova et al., 2024).</w:t>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
    <w:p w14:paraId="3350B4E6"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5.4  Human</w:t>
      </w:r>
      <w:proofErr w:type="gramEnd"/>
      <w:r w:rsidRPr="00444B17">
        <w:rPr>
          <w:rFonts w:ascii="Times New Roman" w:eastAsia="Times New Roman" w:hAnsi="Times New Roman"/>
          <w:color w:val="1F2A44"/>
          <w:sz w:val="22"/>
          <w:szCs w:val="22"/>
        </w:rPr>
        <w:t xml:space="preserve"> Evaluation</w:t>
      </w:r>
    </w:p>
    <w:p w14:paraId="3A389BEB" w14:textId="377ABD19" w:rsidR="00A04479" w:rsidRPr="00444B17" w:rsidRDefault="00C12AC8" w:rsidP="00164273">
      <w:pPr>
        <w:jc w:val="both"/>
        <w:rPr>
          <w:sz w:val="20"/>
          <w:szCs w:val="20"/>
        </w:rPr>
      </w:pPr>
      <w:r w:rsidRPr="00444B17">
        <w:rPr>
          <w:rFonts w:ascii="Times New Roman" w:eastAsia="Times New Roman" w:hAnsi="Times New Roman"/>
          <w:sz w:val="20"/>
          <w:szCs w:val="20"/>
        </w:rPr>
        <w:t>Following forward-simulation evaluation (Hase &amp; Bansal, 2020), the human study will aim to recruit 50 voluntary AIT participants (10 per team member). At least 40 completed sessions, with at least 18 in each group, will be required, and participants will be allocated to the two groups by seeded assignment, with any replacement inheriting the empty slot's group. After standardised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 Participant-level accuracy will be primary; group accuracy and time will be compared descriptively alongside illustrative paraphrased comments and coded responses (Section 5.7). Recruitment shortfalls and unequal group sizes will be reported transparently. Unless support professionals participate, the study will test proxy-user comprehensibility, not professional effectiveness, and will make no significance claim.</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r w:rsidR="00645548" w:rsidRPr="00645548"/>
      <w:r w:rsidR="00645548" w:rsidRPr="00645548">
        <w:rPr>
          <w:rFonts w:ascii="Times New Roman" w:eastAsia="Times New Roman" w:hAnsi="Times New Roman"/>
          <w:sz w:val="20"/>
          <w:szCs w:val="20"/>
        </w:rPr>
      </w:r>
      <w:r w:rsidRPr="00444B17">
        <w:rPr>
          <w:rFonts w:ascii="Times New Roman" w:eastAsia="Times New Roman" w:hAnsi="Times New Roman"/>
          <w:sz w:val="20"/>
          <w:szCs w:val="20"/>
        </w:rPr>
      </w:r>
    </w:p>
    <w:p w14:paraId="28C26156"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5.5  Actionability</w:t>
      </w:r>
      <w:proofErr w:type="gramEnd"/>
      <w:r w:rsidRPr="00444B17">
        <w:rPr>
          <w:rFonts w:ascii="Times New Roman" w:eastAsia="Times New Roman" w:hAnsi="Times New Roman"/>
          <w:color w:val="1F2A44"/>
          <w:sz w:val="22"/>
          <w:szCs w:val="22"/>
        </w:rPr>
        <w:t xml:space="preserve"> and Counterfactual Analysis</w:t>
      </w:r>
    </w:p>
    <w:p w14:paraId="441CE759" w14:textId="7D37080A" w:rsidR="00A04479" w:rsidRPr="00444B17" w:rsidRDefault="008A73EA" w:rsidP="008A73EA">
      <w:pPr>
        <w:jc w:val="both"/>
        <w:rPr>
          <w:sz w:val="20"/>
          <w:szCs w:val="20"/>
        </w:rPr>
      </w:pPr>
      <w:r w:rsidRPr="008A73EA">
        <w:rPr>
          <w:rFonts w:ascii="Times New Roman" w:eastAsia="Times New Roman" w:hAnsi="Times New Roman" w:cs="Times New Roman"/>
          <w:sz w:val="20"/>
          <w:szCs w:val="20"/>
        </w:rPr>
        <w:t xml:space="preserve">Before modelling, features will be classified by temporal availability and feasibility. Age, nationality, prior qualifications and completed first-semester outcomes will remain fixed. Only debtor and tuition-fee status will be enumerated as potentially </w:t>
      </w:r>
      <w:r w:rsidRPr="008A73EA">
        <w:rPr>
          <w:rFonts w:ascii="Times New Roman" w:eastAsia="Times New Roman" w:hAnsi="Times New Roman" w:cs="Times New Roman"/>
          <w:sz w:val="20"/>
          <w:szCs w:val="20"/>
        </w:rPr>
        <w:lastRenderedPageBreak/>
        <w:t xml:space="preserve">resolvable administrative conditions, and only when the resolved value is valid and realistic before second-semester support decisions; any change may require institutional support and will not be framed as a student-controlled obligation. For a flagged case, the search will find the smallest feasible change that moves it outside the cohort's top-20% set after recomputing its rank while all other scores stay fixed. No universal probability threshold will be assumed, and cases with no feasible recourse will be reported explicitly. These outputs describe model </w:t>
      </w:r>
      <w:proofErr w:type="spellStart"/>
      <w:r w:rsidRPr="008A73EA">
        <w:rPr>
          <w:rFonts w:ascii="Times New Roman" w:eastAsia="Times New Roman" w:hAnsi="Times New Roman" w:cs="Times New Roman"/>
          <w:sz w:val="20"/>
          <w:szCs w:val="20"/>
        </w:rPr>
        <w:t>behaviour</w:t>
      </w:r>
      <w:proofErr w:type="spellEnd"/>
      <w:r w:rsidRPr="008A73EA">
        <w:rPr>
          <w:rFonts w:ascii="Times New Roman" w:eastAsia="Times New Roman" w:hAnsi="Times New Roman" w:cs="Times New Roman"/>
          <w:sz w:val="20"/>
          <w:szCs w:val="20"/>
        </w:rPr>
        <w:t>, not causal promises or guaranteed outcomes (Karimi et al., 2021).</w:t>
      </w:r>
    </w:p>
    <w:p w14:paraId="23E429A2"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5.6  System</w:t>
      </w:r>
      <w:proofErr w:type="gramEnd"/>
      <w:r w:rsidRPr="00444B17">
        <w:rPr>
          <w:rFonts w:ascii="Times New Roman" w:eastAsia="Times New Roman" w:hAnsi="Times New Roman"/>
          <w:color w:val="1F2A44"/>
          <w:sz w:val="22"/>
          <w:szCs w:val="22"/>
        </w:rPr>
        <w:t xml:space="preserve"> Architecture, Workflow and Expected Outputs</w:t>
      </w:r>
    </w:p>
    <w:p w14:paraId="7186F922" w14:textId="55714809" w:rsidR="00362165"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The end-to-end workflow will deliver a frozen comparison of TabICL and baselines, explanation and recourse evidence, subgroup diagnostics, human-study findings, a model card and reproducible reports. A lightweight browser-based research interface will provide decision support with frozen predictions, local explanations, reliability warnings and feasible support options, plus a blinded-study mode. The blinded study will withhold model outputs and feedback until all 10 scored responses are submitted. The interface will render versioned, precomputed Python outputs (predictions, contributions and reliability warnings) rather than run live inference, run locally or in a controlled course environment, and accept only pre-approved, pseudonymised UCI test cases. Case packs and response submissions will be validated, rejecting missing, extra, invalid or out-of-range fields rather than silently changing them. Model weights, raw participant responses and credentials will never enter frontend code or version control, and an audit panel will display model, data-split and interface versions for traceability. Before test access, interface parity is checked with training/validation fixtures; study cases are loaded only after the single final evaluation, followed by an export-parity check without retuning. It is a research demonstration, not a production AIT service.</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
    <w:p w14:paraId="7EA0D7CD" w14:textId="77777777" w:rsidR="003B5278" w:rsidRPr="003B5278" w:rsidRDefault="003B5278" w:rsidP="00164273">
      <w:pPr>
        <w:jc w:val="both"/>
        <w:rPr>
          <w:rFonts w:ascii="Times New Roman" w:eastAsia="Times New Roman" w:hAnsi="Times New Roman"/>
          <w:sz w:val="20"/>
          <w:szCs w:val="20"/>
        </w:rPr>
      </w:pPr>
    </w:p>
    <w:tbl>
      <w:tblPr>
        <w:tblW w:w="0" w:type="auto"/>
        <w:jc w:val="center"/>
        <w:tblLayout w:type="fixed"/>
        <w:tblLook w:val="04A0" w:firstRow="1" w:lastRow="0" w:firstColumn="1" w:lastColumn="0" w:noHBand="0" w:noVBand="1"/>
      </w:tblPr>
      <w:tblGrid>
        <w:gridCol w:w="2664"/>
        <w:gridCol w:w="360"/>
        <w:gridCol w:w="2664"/>
        <w:gridCol w:w="360"/>
        <w:gridCol w:w="2664"/>
      </w:tblGrid>
      <w:tr w:rsidR="00A04479" w:rsidRPr="00444B17" w14:paraId="5D5E886C"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30E73352"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1. Decision frame</w:t>
            </w:r>
            <w:r w:rsidRPr="00444B17">
              <w:rPr>
                <w:rFonts w:ascii="Times New Roman" w:eastAsia="Times New Roman" w:hAnsi="Times New Roman"/>
                <w:b/>
                <w:color w:val="1F4E79"/>
                <w:sz w:val="14"/>
                <w:szCs w:val="14"/>
              </w:rPr>
              <w:br/>
              <w:t>intended user · decision · timing</w:t>
            </w:r>
            <w:r w:rsidRPr="00444B17">
              <w:rPr>
                <w:rFonts w:ascii="Times New Roman" w:eastAsia="Times New Roman" w:hAnsi="Times New Roman"/>
                <w:b/>
                <w:color w:val="1F4E79"/>
                <w:sz w:val="14"/>
                <w:szCs w:val="14"/>
              </w:rPr>
              <w:br/>
              <w:t>binary target</w:t>
            </w:r>
          </w:p>
        </w:tc>
        <w:tc>
          <w:tcPr>
            <w:tcW w:w="360" w:type="dxa"/>
            <w:tcBorders>
              <w:top w:val="nil"/>
              <w:left w:val="nil"/>
              <w:bottom w:val="nil"/>
              <w:right w:val="nil"/>
            </w:tcBorders>
            <w:vAlign w:val="center"/>
          </w:tcPr>
          <w:p w14:paraId="30A89A99"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4F3FA6D7"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2. Data design</w:t>
            </w:r>
            <w:r w:rsidRPr="00444B17">
              <w:rPr>
                <w:rFonts w:ascii="Times New Roman" w:eastAsia="Times New Roman" w:hAnsi="Times New Roman"/>
                <w:b/>
                <w:color w:val="1F4E79"/>
                <w:sz w:val="14"/>
                <w:szCs w:val="14"/>
              </w:rPr>
              <w:br/>
              <w:t>UCI audit · feature windows</w:t>
            </w:r>
            <w:r w:rsidRPr="00444B17">
              <w:rPr>
                <w:rFonts w:ascii="Times New Roman" w:eastAsia="Times New Roman" w:hAnsi="Times New Roman"/>
                <w:b/>
                <w:color w:val="1F4E79"/>
                <w:sz w:val="14"/>
                <w:szCs w:val="14"/>
              </w:rPr>
              <w:br/>
              <w:t>frozen 70/15/15 IDs</w:t>
            </w:r>
          </w:p>
        </w:tc>
        <w:tc>
          <w:tcPr>
            <w:tcW w:w="360" w:type="dxa"/>
            <w:tcBorders>
              <w:top w:val="nil"/>
              <w:left w:val="nil"/>
              <w:bottom w:val="nil"/>
              <w:right w:val="nil"/>
            </w:tcBorders>
            <w:vAlign w:val="center"/>
          </w:tcPr>
          <w:p w14:paraId="57F055FA"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3A1F49C9"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3. Model development</w:t>
            </w:r>
            <w:r w:rsidRPr="00444B17">
              <w:rPr>
                <w:rFonts w:ascii="Times New Roman" w:eastAsia="Times New Roman" w:hAnsi="Times New Roman"/>
                <w:b/>
                <w:color w:val="1F4E79"/>
                <w:sz w:val="14"/>
                <w:szCs w:val="14"/>
              </w:rPr>
              <w:br/>
              <w:t>train-only preparation</w:t>
            </w:r>
            <w:r w:rsidRPr="00444B17">
              <w:rPr>
                <w:rFonts w:ascii="Times New Roman" w:eastAsia="Times New Roman" w:hAnsi="Times New Roman"/>
                <w:b/>
                <w:color w:val="1F4E79"/>
                <w:sz w:val="14"/>
                <w:szCs w:val="14"/>
              </w:rPr>
              <w:br/>
            </w:r>
            <w:proofErr w:type="spellStart"/>
            <w:r w:rsidRPr="00444B17">
              <w:rPr>
                <w:rFonts w:ascii="Times New Roman" w:eastAsia="Times New Roman" w:hAnsi="Times New Roman"/>
                <w:b/>
                <w:color w:val="1F4E79"/>
                <w:sz w:val="14"/>
                <w:szCs w:val="14"/>
              </w:rPr>
              <w:t>TabICL</w:t>
            </w:r>
            <w:proofErr w:type="spellEnd"/>
            <w:r w:rsidRPr="00444B17">
              <w:rPr>
                <w:rFonts w:ascii="Times New Roman" w:eastAsia="Times New Roman" w:hAnsi="Times New Roman"/>
                <w:b/>
                <w:color w:val="1F4E79"/>
                <w:sz w:val="14"/>
                <w:szCs w:val="14"/>
              </w:rPr>
              <w:t xml:space="preserve"> + LR/tree/XGB/EBM</w:t>
            </w:r>
          </w:p>
        </w:tc>
      </w:tr>
      <w:tr w:rsidR="00A04479" w:rsidRPr="00444B17" w14:paraId="0E09E883" w14:textId="77777777">
        <w:trPr>
          <w:cantSplit/>
          <w:jc w:val="center"/>
        </w:trPr>
        <w:tc>
          <w:tcPr>
            <w:tcW w:w="2664" w:type="dxa"/>
            <w:tcBorders>
              <w:top w:val="nil"/>
              <w:left w:val="nil"/>
              <w:bottom w:val="nil"/>
              <w:right w:val="nil"/>
            </w:tcBorders>
            <w:vAlign w:val="center"/>
          </w:tcPr>
          <w:p w14:paraId="0EA4805D"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57DD1D31"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58B5BD7C"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4F333256"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7A1EE37B"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r>
      <w:tr w:rsidR="00A04479" w:rsidRPr="00444B17" w14:paraId="4D24B6B5"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2D29A2C3"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6. Local explanations</w:t>
            </w:r>
            <w:r w:rsidRPr="00444B17">
              <w:rPr>
                <w:rFonts w:ascii="Times New Roman" w:eastAsia="Times New Roman" w:hAnsi="Times New Roman"/>
                <w:b/>
                <w:color w:val="1F4E79"/>
                <w:sz w:val="14"/>
                <w:szCs w:val="14"/>
              </w:rPr>
              <w:br/>
              <w:t>audit + study cases</w:t>
            </w:r>
            <w:r w:rsidRPr="00444B17">
              <w:rPr>
                <w:rFonts w:ascii="Times New Roman" w:eastAsia="Times New Roman" w:hAnsi="Times New Roman"/>
                <w:b/>
                <w:color w:val="1F4E79"/>
                <w:sz w:val="14"/>
                <w:szCs w:val="14"/>
              </w:rPr>
              <w:br/>
              <w:t>model-agnostic SHAP</w:t>
            </w:r>
          </w:p>
        </w:tc>
        <w:tc>
          <w:tcPr>
            <w:tcW w:w="360" w:type="dxa"/>
            <w:tcBorders>
              <w:top w:val="nil"/>
              <w:left w:val="nil"/>
              <w:bottom w:val="nil"/>
              <w:right w:val="nil"/>
            </w:tcBorders>
            <w:vAlign w:val="center"/>
          </w:tcPr>
          <w:p w14:paraId="3155DD05"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460CDBE9"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5. One-time final test</w:t>
            </w:r>
            <w:r w:rsidRPr="00444B17">
              <w:rPr>
                <w:rFonts w:ascii="Times New Roman" w:eastAsia="Times New Roman" w:hAnsi="Times New Roman"/>
                <w:b/>
                <w:color w:val="1F4E79"/>
                <w:sz w:val="14"/>
                <w:szCs w:val="14"/>
              </w:rPr>
              <w:br/>
              <w:t>performance · calibration</w:t>
            </w:r>
            <w:r w:rsidRPr="00444B17">
              <w:rPr>
                <w:rFonts w:ascii="Times New Roman" w:eastAsia="Times New Roman" w:hAnsi="Times New Roman"/>
                <w:b/>
                <w:color w:val="1F4E79"/>
                <w:sz w:val="14"/>
                <w:szCs w:val="14"/>
              </w:rPr>
              <w:br/>
              <w:t>paired uncertainty · runtime</w:t>
            </w:r>
          </w:p>
        </w:tc>
        <w:tc>
          <w:tcPr>
            <w:tcW w:w="360" w:type="dxa"/>
            <w:tcBorders>
              <w:top w:val="nil"/>
              <w:left w:val="nil"/>
              <w:bottom w:val="nil"/>
              <w:right w:val="nil"/>
            </w:tcBorders>
            <w:vAlign w:val="center"/>
          </w:tcPr>
          <w:p w14:paraId="765D6457"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77DF509E"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4. Validation freeze</w:t>
            </w:r>
            <w:r w:rsidRPr="00444B17">
              <w:rPr>
                <w:rFonts w:ascii="Times New Roman" w:eastAsia="Times New Roman" w:hAnsi="Times New Roman"/>
                <w:b/>
                <w:color w:val="1F4E79"/>
                <w:sz w:val="14"/>
                <w:szCs w:val="14"/>
              </w:rPr>
              <w:br/>
              <w:t>model · capacity policy</w:t>
            </w:r>
            <w:r w:rsidRPr="00444B17">
              <w:rPr>
                <w:rFonts w:ascii="Times New Roman" w:eastAsia="Times New Roman" w:hAnsi="Times New Roman"/>
                <w:b/>
                <w:color w:val="1F4E79"/>
                <w:sz w:val="14"/>
                <w:szCs w:val="14"/>
              </w:rPr>
              <w:br/>
              <w:t>SHAP groups/budget</w:t>
            </w:r>
          </w:p>
        </w:tc>
      </w:tr>
      <w:tr w:rsidR="00A04479" w:rsidRPr="00444B17" w14:paraId="5469E10E" w14:textId="77777777">
        <w:trPr>
          <w:cantSplit/>
          <w:jc w:val="center"/>
        </w:trPr>
        <w:tc>
          <w:tcPr>
            <w:tcW w:w="2664" w:type="dxa"/>
            <w:tcBorders>
              <w:top w:val="nil"/>
              <w:left w:val="nil"/>
              <w:bottom w:val="nil"/>
              <w:right w:val="nil"/>
            </w:tcBorders>
            <w:vAlign w:val="center"/>
          </w:tcPr>
          <w:p w14:paraId="14821A98"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360" w:type="dxa"/>
            <w:tcBorders>
              <w:top w:val="nil"/>
              <w:left w:val="nil"/>
              <w:bottom w:val="nil"/>
              <w:right w:val="nil"/>
            </w:tcBorders>
            <w:vAlign w:val="center"/>
          </w:tcPr>
          <w:p w14:paraId="5E42EEB7"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48CCD6D8"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755AF9AD"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3E29608D" w14:textId="77777777" w:rsidR="00A04479" w:rsidRPr="00444B17" w:rsidRDefault="00A04479" w:rsidP="00164273">
            <w:pPr>
              <w:keepNext/>
              <w:jc w:val="center"/>
              <w:rPr>
                <w:sz w:val="14"/>
                <w:szCs w:val="14"/>
              </w:rPr>
            </w:pPr>
          </w:p>
        </w:tc>
      </w:tr>
      <w:tr w:rsidR="00A04479" w:rsidRPr="00444B17" w14:paraId="63853342"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7CEBBC23"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7. Explanation evidence</w:t>
            </w:r>
            <w:r w:rsidRPr="00444B17">
              <w:rPr>
                <w:rFonts w:ascii="Times New Roman" w:eastAsia="Times New Roman" w:hAnsi="Times New Roman"/>
                <w:b/>
                <w:color w:val="1F4E79"/>
                <w:sz w:val="14"/>
                <w:szCs w:val="14"/>
              </w:rPr>
              <w:br/>
              <w:t>deletion + white-box · stability</w:t>
            </w:r>
            <w:r w:rsidRPr="00444B17">
              <w:rPr>
                <w:rFonts w:ascii="Times New Roman" w:eastAsia="Times New Roman" w:hAnsi="Times New Roman"/>
                <w:b/>
                <w:color w:val="1F4E79"/>
                <w:sz w:val="14"/>
                <w:szCs w:val="14"/>
              </w:rPr>
              <w:br/>
              <w:t>perturbation · recourse</w:t>
            </w:r>
          </w:p>
        </w:tc>
        <w:tc>
          <w:tcPr>
            <w:tcW w:w="360" w:type="dxa"/>
            <w:tcBorders>
              <w:top w:val="nil"/>
              <w:left w:val="nil"/>
              <w:bottom w:val="nil"/>
              <w:right w:val="nil"/>
            </w:tcBorders>
            <w:vAlign w:val="center"/>
          </w:tcPr>
          <w:p w14:paraId="7A9D73B0"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056C1336"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8. Decision-support study</w:t>
            </w:r>
            <w:r w:rsidRPr="00444B17">
              <w:rPr>
                <w:rFonts w:ascii="Times New Roman" w:eastAsia="Times New Roman" w:hAnsi="Times New Roman"/>
                <w:b/>
                <w:color w:val="1F4E79"/>
                <w:sz w:val="14"/>
                <w:szCs w:val="14"/>
              </w:rPr>
              <w:br/>
              <w:t>subgroup/proxy audit · interface</w:t>
            </w:r>
            <w:r w:rsidRPr="00444B17">
              <w:rPr>
                <w:rFonts w:ascii="Times New Roman" w:eastAsia="Times New Roman" w:hAnsi="Times New Roman"/>
                <w:b/>
                <w:color w:val="1F4E79"/>
                <w:sz w:val="14"/>
                <w:szCs w:val="14"/>
              </w:rPr>
              <w:br/>
              <w:t>blinded A/B study + coding</w:t>
            </w:r>
          </w:p>
        </w:tc>
        <w:tc>
          <w:tcPr>
            <w:tcW w:w="360" w:type="dxa"/>
            <w:tcBorders>
              <w:top w:val="nil"/>
              <w:left w:val="nil"/>
              <w:bottom w:val="nil"/>
              <w:right w:val="nil"/>
            </w:tcBorders>
            <w:vAlign w:val="center"/>
          </w:tcPr>
          <w:p w14:paraId="1E29C43A"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4359B518" w14:textId="636524EA"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 xml:space="preserve">9. </w:t>
            </w:r>
            <w:r w:rsidR="00164273">
              <w:rPr>
                <w:rFonts w:ascii="Times New Roman" w:eastAsia="Times New Roman" w:hAnsi="Times New Roman"/>
                <w:b/>
                <w:color w:val="1F4E79"/>
                <w:sz w:val="14"/>
              </w:rPr>
              <w:t>Lightweight Interface + Project Deliverables (report+ code +tables+ model card)</w:t>
            </w:r>
          </w:p>
        </w:tc>
      </w:tr>
    </w:tbl>
    <w:p w14:paraId="080C4724" w14:textId="62108310" w:rsidR="00A04479" w:rsidRPr="00444B17" w:rsidRDefault="00C12AC8" w:rsidP="00164273">
      <w:pPr>
        <w:spacing w:after="120"/>
        <w:jc w:val="both"/>
        <w:rPr>
          <w:i/>
          <w:iCs/>
          <w:sz w:val="18"/>
          <w:szCs w:val="18"/>
        </w:rPr>
      </w:pPr>
      <w:r w:rsidRPr="00444B17">
        <w:rPr>
          <w:rFonts w:ascii="Times New Roman" w:eastAsia="Times New Roman" w:hAnsi="Times New Roman"/>
          <w:i/>
          <w:iCs/>
          <w:sz w:val="18"/>
          <w:szCs w:val="18"/>
        </w:rPr>
        <w:t>Figure 1. Proposed research workflow. Model, capacity policy and explanation protocols will be frozen on validation data before one-time final testing. Ethics, governance and reproducibility will apply throughout.</w:t>
      </w:r>
    </w:p>
    <w:p w14:paraId="5A11F396" w14:textId="77777777" w:rsidR="00A04479" w:rsidRPr="00444B17" w:rsidRDefault="00C12AC8" w:rsidP="00164273">
      <w:pPr>
        <w:pStyle w:val="Heading2"/>
        <w:spacing w:after="40"/>
        <w:rPr>
          <w:sz w:val="22"/>
          <w:szCs w:val="22"/>
        </w:rPr>
      </w:pPr>
      <w:proofErr w:type="gramStart"/>
      <w:r w:rsidRPr="00444B17">
        <w:rPr>
          <w:rFonts w:ascii="Times New Roman" w:eastAsia="Times New Roman" w:hAnsi="Times New Roman"/>
          <w:sz w:val="22"/>
          <w:szCs w:val="22"/>
        </w:rPr>
        <w:t>5.7  Qualitative</w:t>
      </w:r>
      <w:proofErr w:type="gramEnd"/>
      <w:r w:rsidRPr="00444B17">
        <w:rPr>
          <w:rFonts w:ascii="Times New Roman" w:eastAsia="Times New Roman" w:hAnsi="Times New Roman"/>
          <w:sz w:val="22"/>
          <w:szCs w:val="22"/>
        </w:rPr>
        <w:t xml:space="preserve"> Analysis of Human-Study Responses</w:t>
      </w:r>
    </w:p>
    <w:p w14:paraId="7DBAB494" w14:textId="2778D2C1" w:rsidR="00A04479" w:rsidRPr="00444B17" w:rsidRDefault="008A73EA" w:rsidP="008A73EA">
      <w:pPr>
        <w:jc w:val="both"/>
        <w:rPr>
          <w:sz w:val="20"/>
          <w:szCs w:val="20"/>
        </w:rPr>
      </w:pPr>
      <w:r w:rsidRPr="008A73EA">
        <w:rPr>
          <w:rFonts w:ascii="Times New Roman" w:eastAsia="Times New Roman" w:hAnsi="Times New Roman" w:cs="Times New Roman"/>
          <w:sz w:val="20"/>
          <w:szCs w:val="20"/>
        </w:rPr>
        <w:t>After the prediction task, each participant will explain the judgement, propose a support action, and flag missing information. A pre-defined coding guide will group responses into comprehension, actionability and information-gap categories. Action suggestions will additionally be coded for whether they identify a concrete next step, are feasible before second-semester decisions, and distinguish student-controlled from institution-supported actions; unsupported causal assumptions will be flagged.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14:paraId="7EAE91F7"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6. Ethics, Fairness and Data Governance</w:t>
      </w:r>
    </w:p>
    <w:p w14:paraId="0A22A8D8" w14:textId="519B14C7" w:rsidR="00A04479" w:rsidRDefault="008A73EA" w:rsidP="008A73EA">
      <w:pPr>
        <w:jc w:val="both"/>
        <w:rPr>
          <w:rFonts w:ascii="Times New Roman" w:eastAsia="Times New Roman" w:hAnsi="Times New Roman"/>
          <w:sz w:val="20"/>
          <w:szCs w:val="20"/>
        </w:rPr>
      </w:pPr>
      <w:r w:rsidRPr="008A73EA">
        <w:rPr>
          <w:rFonts w:ascii="Times New Roman" w:eastAsia="Times New Roman" w:hAnsi="Times New Roman" w:cs="Times New Roman"/>
          <w:sz w:val="20"/>
          <w:szCs w:val="20"/>
        </w:rPr>
        <w:t>The UCI dataset is publicly available under CC BY 4.0 with no direct identifiers; its citation and licence will be preserved, the raw file will remain unchanged, and all transformations will be documented. Human-study participants will be consenting adults (18 or older) recruited voluntarily from the AIT community; participation or refusal will have no effect on grades, employment or access to services. Consent information will explain the task, recorded data, withdrawal limit and retention plan before participation. No names or institutional identifiers will be collected in study responses; random participant IDs and pseudonymised case IDs will be used, and any case lookup will be stored separately with access limited to the research team. Raw free text will stay outside version control and accidental identifiers will be removed; pseudonymous does not mean fully anonymous, so raw-response access will be restricted to the research team. Participants may request withdrawal using their participant ID until their response has been de-identified and included in aggregate analysis; this limit will be stated during consent. As a class project, the study follows basic research-ethics practice (voluntary informed consent, minimal data, no identifiers, restricted access and a stated retention limit) rather than a formal institutional ethics-board process, and collection will stay within the consent text shown to participants. Before recruitment, the team will also record the applicable course retention deadline; raw responses and case-linkage files will be securely deleted at that deadline, retaining only non-identifiable aggregate results. The interface will run locally or in a controlled course environment. Public deployment is outside the scope of this project and would require separate privacy, security and ethics review.</w:t>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roofErr w:type="spellStart"/>
      <w:r w:rsidRPr="008A73EA">
        <w:rPr>
          <w:rFonts w:ascii="Times New Roman" w:eastAsia="Times New Roman" w:hAnsi="Times New Roman" w:cs="Times New Roman"/>
          <w:sz w:val="20"/>
          <w:szCs w:val="20"/>
        </w:rPr>
      </w:r>
      <w:proofErr w:type="spellEnd"/>
      <w:r w:rsidRPr="008A73EA">
        <w:rPr>
          <w:rFonts w:ascii="Times New Roman" w:eastAsia="Times New Roman" w:hAnsi="Times New Roman" w:cs="Times New Roman"/>
          <w:sz w:val="20"/>
          <w:szCs w:val="20"/>
        </w:rPr>
      </w:r>
    </w:p>
    <w:p w14:paraId="699FB493" w14:textId="77777777" w:rsidR="00164273" w:rsidRPr="00444B17" w:rsidRDefault="00164273" w:rsidP="00164273">
      <w:pPr>
        <w:jc w:val="both"/>
        <w:rPr>
          <w:sz w:val="20"/>
          <w:szCs w:val="20"/>
        </w:rPr>
      </w:pPr>
    </w:p>
    <w:p w14:paraId="6EB42089" w14:textId="77777777" w:rsidR="00A04479"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14:paraId="4816BA2F" w14:textId="77777777" w:rsidR="00164273" w:rsidRPr="00444B17" w:rsidRDefault="00164273" w:rsidP="00164273">
      <w:pPr>
        <w:jc w:val="both"/>
        <w:rPr>
          <w:sz w:val="20"/>
          <w:szCs w:val="20"/>
        </w:rPr>
      </w:pPr>
    </w:p>
    <w:p w14:paraId="0F511F35" w14:textId="77777777" w:rsidR="00A04479" w:rsidRPr="00444B17" w:rsidRDefault="00C12AC8" w:rsidP="00164273">
      <w:pPr>
        <w:jc w:val="both"/>
        <w:rPr>
          <w:sz w:val="20"/>
          <w:szCs w:val="20"/>
        </w:rPr>
      </w:pPr>
      <w:r w:rsidRPr="00444B17">
        <w:rPr>
          <w:rFonts w:ascii="Times New Roman" w:eastAsia="Times New Roman" w:hAnsi="Times New Roman"/>
          <w:sz w:val="20"/>
          <w:szCs w:val="2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prioritisation, not autonomous denial of education or services, and it must not frame financial disadvantage as a personal obligation.</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
    <w:p w14:paraId="3626FC69"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7. Feasibility and Model Complexity</w:t>
      </w:r>
    </w:p>
    <w:p w14:paraId="10AE1EEA" w14:textId="3C7F8B50" w:rsidR="00A04479" w:rsidRPr="00444B17" w:rsidRDefault="008A73EA" w:rsidP="008A73EA">
      <w:pPr>
        <w:jc w:val="both"/>
        <w:rPr>
          <w:sz w:val="20"/>
          <w:szCs w:val="20"/>
        </w:rPr>
      </w:pPr>
      <w:proofErr w:type="spellStart"/>
      <w:r w:rsidRPr="008A73EA">
        <w:rPr>
          <w:rFonts w:ascii="Times New Roman" w:eastAsia="Times New Roman" w:hAnsi="Times New Roman" w:cs="Times New Roman"/>
          <w:sz w:val="20"/>
          <w:szCs w:val="20"/>
        </w:rPr>
        <w:t>TabICL</w:t>
      </w:r>
      <w:proofErr w:type="spellEnd"/>
      <w:r w:rsidRPr="008A73EA">
        <w:rPr>
          <w:rFonts w:ascii="Times New Roman" w:eastAsia="Times New Roman" w:hAnsi="Times New Roman" w:cs="Times New Roman"/>
          <w:sz w:val="20"/>
          <w:szCs w:val="20"/>
        </w:rPr>
        <w:t xml:space="preserve">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3.3e-16, and global term strengths plus fixed low-, median- and high-risk local decompositions are exported. Logistic regression and the depth-3 tree provide further </w:t>
      </w:r>
      <w:proofErr w:type="spellStart"/>
      <w:r w:rsidRPr="008A73EA">
        <w:rPr>
          <w:rFonts w:ascii="Times New Roman" w:eastAsia="Times New Roman" w:hAnsi="Times New Roman" w:cs="Times New Roman"/>
          <w:sz w:val="20"/>
          <w:szCs w:val="20"/>
        </w:rPr>
        <w:t>simulatable</w:t>
      </w:r>
      <w:proofErr w:type="spellEnd"/>
      <w:r w:rsidRPr="008A73EA">
        <w:rPr>
          <w:rFonts w:ascii="Times New Roman" w:eastAsia="Times New Roman" w:hAnsi="Times New Roman" w:cs="Times New Roman"/>
          <w:sz w:val="20"/>
          <w:szCs w:val="20"/>
        </w:rPr>
        <w:t xml:space="preserve"> comparisons. </w:t>
      </w:r>
      <w:proofErr w:type="spellStart"/>
      <w:r w:rsidRPr="008A73EA">
        <w:rPr>
          <w:rFonts w:ascii="Times New Roman" w:eastAsia="Times New Roman" w:hAnsi="Times New Roman" w:cs="Times New Roman"/>
          <w:sz w:val="20"/>
          <w:szCs w:val="20"/>
        </w:rPr>
        <w:t>TabICL's</w:t>
      </w:r>
      <w:proofErr w:type="spellEnd"/>
      <w:r w:rsidRPr="008A73EA">
        <w:rPr>
          <w:rFonts w:ascii="Times New Roman" w:eastAsia="Times New Roman" w:hAnsi="Times New Roman" w:cs="Times New Roman"/>
          <w:sz w:val="20"/>
          <w:szCs w:val="20"/>
        </w:rPr>
        <w:t xml:space="preserve"> validation ROC-AUC exceeds EBM by only 0.006, so the project does not presume that complexity is operationally justified; final same-test-set performance, calibration, runtime and explanation evidence will determine whether </w:t>
      </w:r>
      <w:proofErr w:type="spellStart"/>
      <w:r w:rsidRPr="008A73EA">
        <w:rPr>
          <w:rFonts w:ascii="Times New Roman" w:eastAsia="Times New Roman" w:hAnsi="Times New Roman" w:cs="Times New Roman"/>
          <w:sz w:val="20"/>
          <w:szCs w:val="20"/>
        </w:rPr>
        <w:t>TabICL</w:t>
      </w:r>
      <w:proofErr w:type="spellEnd"/>
      <w:r w:rsidRPr="008A73EA">
        <w:rPr>
          <w:rFonts w:ascii="Times New Roman" w:eastAsia="Times New Roman" w:hAnsi="Times New Roman" w:cs="Times New Roman"/>
          <w:sz w:val="20"/>
          <w:szCs w:val="20"/>
        </w:rPr>
        <w:t xml:space="preserve"> remains a research comparison or EBM is the more defensible deployment candidate.</w:t>
      </w:r>
    </w:p>
    <w:p w14:paraId="02E4B786"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8. Reproducibility and Documentation</w:t>
      </w:r>
    </w:p>
    <w:p w14:paraId="7F9BED35" w14:textId="73E06040" w:rsidR="00A04479" w:rsidRPr="00444B17" w:rsidRDefault="00C12AC8" w:rsidP="00164273">
      <w:pPr>
        <w:jc w:val="both"/>
        <w:rPr>
          <w:sz w:val="20"/>
          <w:szCs w:val="20"/>
        </w:rPr>
      </w:pPr>
      <w:r w:rsidRPr="00444B17">
        <w:rPr>
          <w:rFonts w:ascii="Times New Roman" w:eastAsia="Times New Roman" w:hAnsi="Times New Roman"/>
          <w:sz w:val="20"/>
          <w:szCs w:val="20"/>
        </w:rPr>
        <w:t xml:space="preserve">The repository separates source data, EDA, modelling, explanation evaluation, study materials and outputs. A pinned environment supports a fresh clone. Seed 42 and source-row IDs define the split; protocol 1.3, 26 in-scope tests, four baselines, capacity-consistent recourse, exact EBM decomposition, </w:t>
      </w:r>
      <w:proofErr w:type="spellStart"/>
      <w:r w:rsidRPr="00444B17">
        <w:rPr>
          <w:rFonts w:ascii="Times New Roman" w:eastAsia="Times New Roman" w:hAnsi="Times New Roman"/>
          <w:sz w:val="20"/>
          <w:szCs w:val="20"/>
        </w:rPr>
        <w:t>TabICL</w:t>
      </w:r>
      <w:proofErr w:type="spellEnd"/>
      <w:r w:rsidRPr="00444B17">
        <w:rPr>
          <w:rFonts w:ascii="Times New Roman" w:eastAsia="Times New Roman" w:hAnsi="Times New Roman"/>
          <w:sz w:val="20"/>
          <w:szCs w:val="20"/>
        </w:rPr>
        <w:t>/SHAP integration, grouped importance, ALE, explicit subgroup suppression and proxy tables are implemented. Before final submission, one command will regenerate every report artefact and another will launch the interface from frozen artefacts. The completed model card will record intended use, data, final metrics, explanation evidence, subgroup results and limitations.</w:t>
      </w:r>
    </w:p>
    <w:p w14:paraId="1BE80A4F"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9. Expected Contribution, Limitations and Contingencies</w:t>
      </w:r>
    </w:p>
    <w:p w14:paraId="2FE03C83" w14:textId="77777777" w:rsidR="00A04479" w:rsidRPr="00444B17" w:rsidRDefault="00C12AC8" w:rsidP="00164273">
      <w:pPr>
        <w:jc w:val="both"/>
        <w:rPr>
          <w:sz w:val="20"/>
          <w:szCs w:val="20"/>
        </w:rPr>
      </w:pPr>
      <w:r w:rsidRPr="00444B17">
        <w:rPr>
          <w:rFonts w:ascii="Times New Roman" w:eastAsia="Times New Roman" w:hAnsi="Times New Roman"/>
          <w:sz w:val="20"/>
          <w:szCs w:val="20"/>
        </w:rPr>
        <w:t>The proposed contribution will extend beyond accuracy by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descriptive. Findings will remain valuable if EBM matches or exceeds TabICL, explanations are unstable or unfaithful, participants gain no benefit, or feasible recourse is unavailable. Explanations describe model associations, not causal diagnoses or guaranteed intervention benefits, and real-data predictive evidence, explanation audits and human-study findings will not be merged into a single claim.</w:t>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roofErr w:type="spellStart"/>
      <w:r w:rsidRPr="00444B17">
        <w:rPr>
          <w:rFonts w:ascii="Times New Roman" w:eastAsia="Times New Roman" w:hAnsi="Times New Roman"/>
          <w:sz w:val="20"/>
          <w:szCs w:val="20"/>
        </w:rPr>
      </w:r>
      <w:proofErr w:type="spellEnd"/>
      <w:r w:rsidRPr="00444B17">
        <w:rPr>
          <w:rFonts w:ascii="Times New Roman" w:eastAsia="Times New Roman" w:hAnsi="Times New Roman"/>
          <w:sz w:val="20"/>
          <w:szCs w:val="20"/>
        </w:rPr>
      </w:r>
    </w:p>
    <w:p w14:paraId="0C5E6A9F" w14:textId="77777777" w:rsidR="00444B17" w:rsidRPr="00444B17" w:rsidRDefault="00444B17" w:rsidP="00164273">
      <w:pPr>
        <w:jc w:val="both"/>
        <w:rPr>
          <w:rFonts w:ascii="Times New Roman" w:eastAsia="Times New Roman" w:hAnsi="Times New Roman"/>
        </w:rPr>
      </w:pPr>
    </w:p>
    <w:p w14:paraId="4BCB5A94" w14:textId="0C777174" w:rsidR="004A0DFA" w:rsidRPr="003B5278" w:rsidRDefault="00C12AC8" w:rsidP="00164273">
      <w:pPr>
        <w:jc w:val="both"/>
        <w:rPr>
          <w:rFonts w:ascii="Times New Roman" w:hAnsi="Times New Roman" w:cs="Times New Roman"/>
          <w:sz w:val="18"/>
          <w:szCs w:val="18"/>
        </w:rPr>
      </w:pPr>
      <w:r w:rsidRPr="003B5278">
        <w:rPr>
          <w:rFonts w:ascii="Times New Roman" w:eastAsia="Times New Roman" w:hAnsi="Times New Roman" w:cs="Times New Roman"/>
          <w:b/>
          <w:bCs/>
          <w:sz w:val="18"/>
          <w:szCs w:val="18"/>
        </w:rPr>
        <w:t>Code</w:t>
      </w:r>
      <w:r w:rsidR="00444B17" w:rsidRPr="003B5278">
        <w:rPr>
          <w:rFonts w:ascii="Times New Roman" w:eastAsia="Times New Roman" w:hAnsi="Times New Roman" w:cs="Times New Roman"/>
          <w:b/>
          <w:bCs/>
          <w:sz w:val="18"/>
          <w:szCs w:val="18"/>
        </w:rPr>
        <w:t xml:space="preserve"> </w:t>
      </w:r>
      <w:r w:rsidRPr="003B5278">
        <w:rPr>
          <w:rFonts w:ascii="Times New Roman" w:eastAsia="Times New Roman" w:hAnsi="Times New Roman" w:cs="Times New Roman"/>
          <w:b/>
          <w:bCs/>
          <w:sz w:val="18"/>
          <w:szCs w:val="18"/>
        </w:rPr>
        <w:t>and data availability.</w:t>
      </w:r>
      <w:r w:rsidRPr="003B5278">
        <w:rPr>
          <w:rFonts w:ascii="Times New Roman" w:eastAsia="Times New Roman" w:hAnsi="Times New Roman" w:cs="Times New Roman"/>
          <w:sz w:val="18"/>
          <w:szCs w:val="18"/>
        </w:rPr>
        <w:t xml:space="preserve"> The versioned project repository is available at </w:t>
      </w:r>
      <w:hyperlink r:id="rId7" w:history="1">
        <w:r w:rsidR="004A0DFA" w:rsidRPr="003B5278">
          <w:rPr>
            <w:rStyle w:val="Hyperlink"/>
            <w:rFonts w:ascii="Times New Roman" w:hAnsi="Times New Roman" w:cs="Times New Roman"/>
            <w:sz w:val="18"/>
            <w:szCs w:val="18"/>
          </w:rPr>
          <w:t>https://github.com/TheInterpreters/Student-Dropout-Risk</w:t>
        </w:r>
      </w:hyperlink>
    </w:p>
    <w:p w14:paraId="487E2FD4" w14:textId="4F0715A7" w:rsidR="00A04479" w:rsidRPr="003B5278" w:rsidRDefault="00C12AC8" w:rsidP="00164273">
      <w:pPr>
        <w:jc w:val="both"/>
        <w:rPr>
          <w:rFonts w:ascii="Times New Roman" w:eastAsia="Times New Roman" w:hAnsi="Times New Roman"/>
          <w:sz w:val="18"/>
          <w:szCs w:val="18"/>
        </w:rPr>
      </w:pPr>
      <w:r w:rsidRPr="003B5278">
        <w:rPr>
          <w:rFonts w:ascii="Times New Roman" w:eastAsia="Times New Roman" w:hAnsi="Times New Roman"/>
          <w:sz w:val="18"/>
          <w:szCs w:val="18"/>
        </w:rPr>
        <w:t xml:space="preserve"> </w:t>
      </w:r>
    </w:p>
    <w:p w14:paraId="5C85CE28" w14:textId="77777777" w:rsidR="00444B17" w:rsidRPr="00736E2C" w:rsidRDefault="00444B17" w:rsidP="00164273">
      <w:pPr>
        <w:pageBreakBefore/>
        <w:jc w:val="both"/>
        <w:rPr>
          <w:rFonts w:ascii="Times New Roman" w:hAnsi="Times New Roman" w:cs="Times New Roman"/>
          <w:b/>
          <w:bCs/>
        </w:rPr>
      </w:pPr>
      <w:r w:rsidRPr="00736E2C">
        <w:rPr>
          <w:rFonts w:ascii="Times New Roman" w:hAnsi="Times New Roman" w:cs="Times New Roman"/>
          <w:b/>
          <w:bCs/>
        </w:rPr>
        <w:t>References</w:t>
      </w:r>
    </w:p>
    <w:p w14:paraId="1442C04F" w14:textId="77777777" w:rsidR="00444B17" w:rsidRPr="00736E2C" w:rsidRDefault="00444B17" w:rsidP="00164273">
      <w:pPr>
        <w:jc w:val="both"/>
        <w:rPr>
          <w:rFonts w:ascii="Times New Roman" w:hAnsi="Times New Roman" w:cs="Times New Roman"/>
          <w:b/>
          <w:bCs/>
          <w:sz w:val="18"/>
          <w:szCs w:val="18"/>
        </w:rPr>
      </w:pPr>
    </w:p>
    <w:p w14:paraId="5FD8593C" w14:textId="77777777" w:rsidR="00444B17" w:rsidRPr="003B5278" w:rsidRDefault="00444B17" w:rsidP="003B5278">
      <w:pPr>
        <w:jc w:val="both"/>
        <w:rPr>
          <w:rFonts w:ascii="Times New Roman" w:hAnsi="Times New Roman" w:cs="Times New Roman"/>
          <w:sz w:val="16"/>
          <w:szCs w:val="16"/>
        </w:rPr>
      </w:pPr>
      <w:proofErr w:type="spellStart"/>
      <w:r w:rsidRPr="003B5278">
        <w:rPr>
          <w:rFonts w:ascii="Times New Roman" w:hAnsi="Times New Roman" w:cs="Times New Roman"/>
          <w:sz w:val="16"/>
          <w:szCs w:val="16"/>
        </w:rPr>
        <w:t>Realinho</w:t>
      </w:r>
      <w:proofErr w:type="spellEnd"/>
      <w:r w:rsidRPr="003B5278">
        <w:rPr>
          <w:rFonts w:ascii="Times New Roman" w:hAnsi="Times New Roman" w:cs="Times New Roman"/>
          <w:sz w:val="16"/>
          <w:szCs w:val="16"/>
        </w:rPr>
        <w:t xml:space="preserve">, V., Vieira Martins, M., Machado, J., &amp; Baptista, L. (2021). Predict Students’ Dropout and Academic Success [Dataset]. UCI Machine Learning Repository. </w:t>
      </w:r>
      <w:hyperlink r:id="rId8" w:history="1">
        <w:r w:rsidRPr="003B5278">
          <w:rPr>
            <w:rStyle w:val="Hyperlink"/>
            <w:rFonts w:ascii="Times New Roman" w:hAnsi="Times New Roman" w:cs="Times New Roman"/>
            <w:sz w:val="16"/>
            <w:szCs w:val="16"/>
          </w:rPr>
          <w:t>https://doi.org/10.24432/C5MC89</w:t>
        </w:r>
      </w:hyperlink>
    </w:p>
    <w:p w14:paraId="09E43807" w14:textId="77777777" w:rsidR="00444B17" w:rsidRPr="003B5278" w:rsidRDefault="00444B17" w:rsidP="003B5278">
      <w:pPr>
        <w:jc w:val="both"/>
        <w:rPr>
          <w:rFonts w:ascii="Times New Roman" w:hAnsi="Times New Roman" w:cs="Times New Roman"/>
          <w:sz w:val="16"/>
          <w:szCs w:val="16"/>
        </w:rPr>
      </w:pPr>
      <w:proofErr w:type="spellStart"/>
      <w:r w:rsidRPr="003B5278">
        <w:rPr>
          <w:rFonts w:ascii="Times New Roman" w:hAnsi="Times New Roman" w:cs="Times New Roman"/>
          <w:sz w:val="16"/>
          <w:szCs w:val="16"/>
        </w:rPr>
        <w:t>Realinho</w:t>
      </w:r>
      <w:proofErr w:type="spellEnd"/>
      <w:r w:rsidRPr="003B5278">
        <w:rPr>
          <w:rFonts w:ascii="Times New Roman" w:hAnsi="Times New Roman" w:cs="Times New Roman"/>
          <w:sz w:val="16"/>
          <w:szCs w:val="16"/>
        </w:rPr>
        <w:t xml:space="preserve">, V., Machado, J., Baptista, L., &amp; Martins, M. V. (2022). Predicting student dropout and academic success. Data, 7(11), 146. </w:t>
      </w:r>
      <w:hyperlink r:id="rId9" w:history="1">
        <w:r w:rsidRPr="003B5278">
          <w:rPr>
            <w:rStyle w:val="Hyperlink"/>
            <w:rFonts w:ascii="Times New Roman" w:hAnsi="Times New Roman" w:cs="Times New Roman"/>
            <w:sz w:val="16"/>
            <w:szCs w:val="16"/>
          </w:rPr>
          <w:t>https://doi.org/10.3390/data7110146</w:t>
        </w:r>
      </w:hyperlink>
    </w:p>
    <w:p w14:paraId="1346273B"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Hollmann, N., Müller, S., Purucker, L., Krishnakumar, A., </w:t>
      </w:r>
      <w:proofErr w:type="spellStart"/>
      <w:r w:rsidRPr="003B5278">
        <w:rPr>
          <w:rFonts w:ascii="Times New Roman" w:hAnsi="Times New Roman" w:cs="Times New Roman"/>
          <w:sz w:val="16"/>
          <w:szCs w:val="16"/>
        </w:rPr>
        <w:t>Körfer</w:t>
      </w:r>
      <w:proofErr w:type="spellEnd"/>
      <w:r w:rsidRPr="003B5278">
        <w:rPr>
          <w:rFonts w:ascii="Times New Roman" w:hAnsi="Times New Roman" w:cs="Times New Roman"/>
          <w:sz w:val="16"/>
          <w:szCs w:val="16"/>
        </w:rPr>
        <w:t xml:space="preserve">, M., Hoo, S. B., </w:t>
      </w:r>
      <w:proofErr w:type="spellStart"/>
      <w:r w:rsidRPr="003B5278">
        <w:rPr>
          <w:rFonts w:ascii="Times New Roman" w:hAnsi="Times New Roman" w:cs="Times New Roman"/>
          <w:sz w:val="16"/>
          <w:szCs w:val="16"/>
        </w:rPr>
        <w:t>Schirrmeister</w:t>
      </w:r>
      <w:proofErr w:type="spellEnd"/>
      <w:r w:rsidRPr="003B5278">
        <w:rPr>
          <w:rFonts w:ascii="Times New Roman" w:hAnsi="Times New Roman" w:cs="Times New Roman"/>
          <w:sz w:val="16"/>
          <w:szCs w:val="16"/>
        </w:rPr>
        <w:t xml:space="preserve">, R. T., &amp; Hutter, F. (2025). Accurate predictions on small data with a tabular foundation model. Nature, 637, 319–326. </w:t>
      </w:r>
      <w:hyperlink r:id="rId10" w:history="1">
        <w:r w:rsidRPr="003B5278">
          <w:rPr>
            <w:rStyle w:val="Hyperlink"/>
            <w:rFonts w:ascii="Times New Roman" w:hAnsi="Times New Roman" w:cs="Times New Roman"/>
            <w:sz w:val="16"/>
            <w:szCs w:val="16"/>
          </w:rPr>
          <w:t>https://doi.org/10.1038/s41586-024-08328-6</w:t>
        </w:r>
      </w:hyperlink>
    </w:p>
    <w:p w14:paraId="055BCF3D"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Qu, J., </w:t>
      </w:r>
      <w:proofErr w:type="spellStart"/>
      <w:r w:rsidRPr="003B5278">
        <w:rPr>
          <w:rFonts w:ascii="Times New Roman" w:hAnsi="Times New Roman" w:cs="Times New Roman"/>
          <w:sz w:val="16"/>
          <w:szCs w:val="16"/>
        </w:rPr>
        <w:t>Holzmüller</w:t>
      </w:r>
      <w:proofErr w:type="spellEnd"/>
      <w:r w:rsidRPr="003B5278">
        <w:rPr>
          <w:rFonts w:ascii="Times New Roman" w:hAnsi="Times New Roman" w:cs="Times New Roman"/>
          <w:sz w:val="16"/>
          <w:szCs w:val="16"/>
        </w:rPr>
        <w:t xml:space="preserve">, D., </w:t>
      </w:r>
      <w:proofErr w:type="spellStart"/>
      <w:r w:rsidRPr="003B5278">
        <w:rPr>
          <w:rFonts w:ascii="Times New Roman" w:hAnsi="Times New Roman" w:cs="Times New Roman"/>
          <w:sz w:val="16"/>
          <w:szCs w:val="16"/>
        </w:rPr>
        <w:t>Varoquaux</w:t>
      </w:r>
      <w:proofErr w:type="spellEnd"/>
      <w:r w:rsidRPr="003B5278">
        <w:rPr>
          <w:rFonts w:ascii="Times New Roman" w:hAnsi="Times New Roman" w:cs="Times New Roman"/>
          <w:sz w:val="16"/>
          <w:szCs w:val="16"/>
        </w:rPr>
        <w:t xml:space="preserve">, G., &amp; Le Morvan, M. (2025). </w:t>
      </w:r>
      <w:proofErr w:type="spellStart"/>
      <w:r w:rsidRPr="003B5278">
        <w:rPr>
          <w:rFonts w:ascii="Times New Roman" w:hAnsi="Times New Roman" w:cs="Times New Roman"/>
          <w:sz w:val="16"/>
          <w:szCs w:val="16"/>
        </w:rPr>
        <w:t>TabICL</w:t>
      </w:r>
      <w:proofErr w:type="spellEnd"/>
      <w:r w:rsidRPr="003B5278">
        <w:rPr>
          <w:rFonts w:ascii="Times New Roman" w:hAnsi="Times New Roman" w:cs="Times New Roman"/>
          <w:sz w:val="16"/>
          <w:szCs w:val="16"/>
        </w:rPr>
        <w:t xml:space="preserve">: A tabular foundation model for in-context learning on large data. Proceedings of the 42nd International Conference on Machine Learning, PMLR 267, 50817–50847. </w:t>
      </w:r>
      <w:hyperlink r:id="rId11" w:history="1">
        <w:r w:rsidRPr="003B5278">
          <w:rPr>
            <w:rStyle w:val="Hyperlink"/>
            <w:rFonts w:ascii="Times New Roman" w:hAnsi="Times New Roman" w:cs="Times New Roman"/>
            <w:sz w:val="16"/>
            <w:szCs w:val="16"/>
          </w:rPr>
          <w:t>https://proceedings.mlr.press/v267/qu25d.html</w:t>
        </w:r>
      </w:hyperlink>
    </w:p>
    <w:p w14:paraId="2E2A119B"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Lou, Y., Caruana, R., Gehrke, J., &amp; Hooker, G. (2013). Accurate intelligible models with pairwise interactions. Proceedings of the 19th ACM SIGKDD International Conference on Knowledge Discovery and Data Mining, 623–631. </w:t>
      </w:r>
      <w:hyperlink r:id="rId12" w:history="1">
        <w:r w:rsidRPr="003B5278">
          <w:rPr>
            <w:rStyle w:val="Hyperlink"/>
            <w:rFonts w:ascii="Times New Roman" w:hAnsi="Times New Roman" w:cs="Times New Roman"/>
            <w:sz w:val="16"/>
            <w:szCs w:val="16"/>
          </w:rPr>
          <w:t>https://doi.org/10.1145/2487575.2487579</w:t>
        </w:r>
      </w:hyperlink>
    </w:p>
    <w:p w14:paraId="1EF234DD"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Lundberg, S. M., &amp; Lee, S.-I. (2017). A unified approach to interpreting model predictions. Advances in Neural Information Processing Systems, 30, 4765–4774. </w:t>
      </w:r>
      <w:hyperlink r:id="rId13" w:history="1">
        <w:r w:rsidRPr="003B5278">
          <w:rPr>
            <w:rStyle w:val="Hyperlink"/>
            <w:rFonts w:ascii="Times New Roman" w:hAnsi="Times New Roman" w:cs="Times New Roman"/>
            <w:sz w:val="16"/>
            <w:szCs w:val="16"/>
          </w:rPr>
          <w:t>https://proceedings.neurips.cc/paper/2017/hash/8a20a8621978632d76c43dfd28b67767-Abstract.html</w:t>
        </w:r>
      </w:hyperlink>
    </w:p>
    <w:p w14:paraId="4CE2B5AF"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Nauta, M., Trienes, J., Pathak, S., Nguyen, E., Peters, M., Schmitt, Y., </w:t>
      </w:r>
      <w:proofErr w:type="spellStart"/>
      <w:r w:rsidRPr="003B5278">
        <w:rPr>
          <w:rFonts w:ascii="Times New Roman" w:hAnsi="Times New Roman" w:cs="Times New Roman"/>
          <w:sz w:val="16"/>
          <w:szCs w:val="16"/>
        </w:rPr>
        <w:t>Schlötterer</w:t>
      </w:r>
      <w:proofErr w:type="spellEnd"/>
      <w:r w:rsidRPr="003B5278">
        <w:rPr>
          <w:rFonts w:ascii="Times New Roman" w:hAnsi="Times New Roman" w:cs="Times New Roman"/>
          <w:sz w:val="16"/>
          <w:szCs w:val="16"/>
        </w:rPr>
        <w:t xml:space="preserve">, J., van Keulen, M., &amp; Seifert, C. (2023). From anecdotal evidence to quantitative evaluation methods: A systematic review on evaluating explainable AI. ACM Computing Surveys, 55(13s), Article 295. </w:t>
      </w:r>
      <w:hyperlink r:id="rId14" w:history="1">
        <w:r w:rsidRPr="003B5278">
          <w:rPr>
            <w:rStyle w:val="Hyperlink"/>
            <w:rFonts w:ascii="Times New Roman" w:hAnsi="Times New Roman" w:cs="Times New Roman"/>
            <w:sz w:val="16"/>
            <w:szCs w:val="16"/>
          </w:rPr>
          <w:t>https://doi.org/10.1145/3583558</w:t>
        </w:r>
      </w:hyperlink>
    </w:p>
    <w:p w14:paraId="3060EBA4"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Hase, P., &amp; Bansal, M. (2020). Evaluating explainable AI: Which algorithmic explanations help users predict model behavior? Proceedings of the 58th Annual Meeting of the Association for Computational Linguistics, 5540–5552. </w:t>
      </w:r>
      <w:hyperlink r:id="rId15" w:history="1">
        <w:r w:rsidRPr="003B5278">
          <w:rPr>
            <w:rStyle w:val="Hyperlink"/>
            <w:rFonts w:ascii="Times New Roman" w:hAnsi="Times New Roman" w:cs="Times New Roman"/>
            <w:sz w:val="16"/>
            <w:szCs w:val="16"/>
          </w:rPr>
          <w:t>https://doi.org/10.18653/v1/2020.acl-main.491</w:t>
        </w:r>
      </w:hyperlink>
    </w:p>
    <w:p w14:paraId="113CD018"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Karimi, A.-H., </w:t>
      </w:r>
      <w:proofErr w:type="spellStart"/>
      <w:r w:rsidRPr="003B5278">
        <w:rPr>
          <w:rFonts w:ascii="Times New Roman" w:hAnsi="Times New Roman" w:cs="Times New Roman"/>
          <w:sz w:val="16"/>
          <w:szCs w:val="16"/>
        </w:rPr>
        <w:t>Schölkopf</w:t>
      </w:r>
      <w:proofErr w:type="spellEnd"/>
      <w:r w:rsidRPr="003B5278">
        <w:rPr>
          <w:rFonts w:ascii="Times New Roman" w:hAnsi="Times New Roman" w:cs="Times New Roman"/>
          <w:sz w:val="16"/>
          <w:szCs w:val="16"/>
        </w:rPr>
        <w:t xml:space="preserve">, B., &amp; Valera, I. (2021). Algorithmic recourse: From counterfactual explanations to interventions. Proceedings of the 2021 ACM Conference on Fairness, Accountability, and Transparency, 353–362. </w:t>
      </w:r>
      <w:hyperlink r:id="rId16" w:history="1">
        <w:r w:rsidRPr="003B5278">
          <w:rPr>
            <w:rStyle w:val="Hyperlink"/>
            <w:rFonts w:ascii="Times New Roman" w:hAnsi="Times New Roman" w:cs="Times New Roman"/>
            <w:sz w:val="16"/>
            <w:szCs w:val="16"/>
          </w:rPr>
          <w:t>https://doi.org/10.1145/3442188.3445899</w:t>
        </w:r>
      </w:hyperlink>
    </w:p>
    <w:p w14:paraId="366635E8" w14:textId="0DF42552"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Tiukhova, E., Vemuri, P., López Flores, N., </w:t>
      </w:r>
      <w:proofErr w:type="spellStart"/>
      <w:r w:rsidRPr="003B5278">
        <w:rPr>
          <w:rFonts w:ascii="Times New Roman" w:hAnsi="Times New Roman" w:cs="Times New Roman"/>
          <w:sz w:val="16"/>
          <w:szCs w:val="16"/>
        </w:rPr>
        <w:t>Islind</w:t>
      </w:r>
      <w:proofErr w:type="spellEnd"/>
      <w:r w:rsidRPr="003B5278">
        <w:rPr>
          <w:rFonts w:ascii="Times New Roman" w:hAnsi="Times New Roman" w:cs="Times New Roman"/>
          <w:sz w:val="16"/>
          <w:szCs w:val="16"/>
        </w:rPr>
        <w:t xml:space="preserve">, A. S., Óskarsdóttir, M., Poelmans, S., </w:t>
      </w:r>
      <w:proofErr w:type="spellStart"/>
      <w:r w:rsidRPr="003B5278">
        <w:rPr>
          <w:rFonts w:ascii="Times New Roman" w:hAnsi="Times New Roman" w:cs="Times New Roman"/>
          <w:sz w:val="16"/>
          <w:szCs w:val="16"/>
        </w:rPr>
        <w:t>Baesens</w:t>
      </w:r>
      <w:proofErr w:type="spellEnd"/>
      <w:r w:rsidRPr="003B5278">
        <w:rPr>
          <w:rFonts w:ascii="Times New Roman" w:hAnsi="Times New Roman" w:cs="Times New Roman"/>
          <w:sz w:val="16"/>
          <w:szCs w:val="16"/>
        </w:rPr>
        <w:t xml:space="preserve">, B., &amp; </w:t>
      </w:r>
      <w:proofErr w:type="spellStart"/>
      <w:r w:rsidRPr="003B5278">
        <w:rPr>
          <w:rFonts w:ascii="Times New Roman" w:hAnsi="Times New Roman" w:cs="Times New Roman"/>
          <w:sz w:val="16"/>
          <w:szCs w:val="16"/>
        </w:rPr>
        <w:t>Snoeck</w:t>
      </w:r>
      <w:proofErr w:type="spellEnd"/>
      <w:r w:rsidRPr="003B5278">
        <w:rPr>
          <w:rFonts w:ascii="Times New Roman" w:hAnsi="Times New Roman" w:cs="Times New Roman"/>
          <w:sz w:val="16"/>
          <w:szCs w:val="16"/>
        </w:rPr>
        <w:t xml:space="preserve">, M. (2024). Explainable learning analytics: Assessing the stability of student success prediction models by means of explainable AI. Decision Support Systems, 182, 114229. </w:t>
      </w:r>
      <w:hyperlink r:id="rId17" w:history="1">
        <w:r w:rsidRPr="003B5278">
          <w:rPr>
            <w:rStyle w:val="Hyperlink"/>
            <w:rFonts w:ascii="Times New Roman" w:hAnsi="Times New Roman" w:cs="Times New Roman"/>
            <w:sz w:val="16"/>
            <w:szCs w:val="16"/>
          </w:rPr>
          <w:t>https://doi.org/10.1016/j.dss.2024.114229</w:t>
        </w:r>
      </w:hyperlink>
    </w:p>
    <w:sectPr w:rsidR="00444B17" w:rsidRPr="003B5278">
      <w:footerReference w:type="default" r:id="rId18"/>
      <w:pgSz w:w="12240" w:h="15840"/>
      <w:pgMar w:top="720" w:right="1080" w:bottom="72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6AEDF" w14:textId="77777777" w:rsidR="007B5777" w:rsidRDefault="007B5777" w:rsidP="00444B17">
      <w:r>
        <w:separator/>
      </w:r>
    </w:p>
  </w:endnote>
  <w:endnote w:type="continuationSeparator" w:id="0">
    <w:p w14:paraId="50647E1C" w14:textId="77777777" w:rsidR="007B5777" w:rsidRDefault="007B5777" w:rsidP="00444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EB6794B-9823-41C0-A7EC-58A7D5D1B1F2}"/>
    <w:embedBold r:id="rId2" w:fontKey="{D1940E4E-F72C-49D7-BD05-0B04B70480DF}"/>
    <w:embedItalic r:id="rId3" w:fontKey="{E3423D44-AE14-4279-8842-89BFE8BB5230}"/>
    <w:embedBoldItalic r:id="rId4" w:fontKey="{95752A2E-9735-47AA-BB35-22F5D4D60BB2}"/>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embedRegular r:id="rId5" w:fontKey="{896AA474-B632-418C-9839-DB6A28A018DC}"/>
    <w:embedBold r:id="rId6" w:fontKey="{D8162A9B-D1C2-40FC-8658-FE4C2E69454C}"/>
    <w:embedItalic r:id="rId7" w:fontKey="{62932AAC-B993-4C68-B9E2-96435B036199}"/>
    <w:embedBoldItalic r:id="rId8" w:fontKey="{043FBA74-1617-46EC-B44A-18D978A8C81A}"/>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9" w:fontKey="{30A24456-A279-4B77-9496-E5C1AC9C757C}"/>
  </w:font>
  <w:font w:name="Cordia New">
    <w:panose1 w:val="020B0304020202020204"/>
    <w:charset w:val="00"/>
    <w:family w:val="swiss"/>
    <w:pitch w:val="variable"/>
    <w:sig w:usb0="81000003" w:usb1="00000000" w:usb2="00000000" w:usb3="00000000" w:csb0="00010001" w:csb1="00000000"/>
    <w:embedRegular r:id="rId10" w:fontKey="{6B0A8251-CF33-4101-8AC7-6D10FB44C4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590640"/>
      <w:docPartObj>
        <w:docPartGallery w:val="Page Numbers (Bottom of Page)"/>
        <w:docPartUnique/>
      </w:docPartObj>
    </w:sdtPr>
    <w:sdtEndPr>
      <w:rPr>
        <w:color w:val="7F7F7F" w:themeColor="background1" w:themeShade="7F"/>
        <w:spacing w:val="60"/>
      </w:rPr>
    </w:sdtEndPr>
    <w:sdtContent>
      <w:p w14:paraId="74DC29FE" w14:textId="26F04541" w:rsidR="00444B17" w:rsidRDefault="00444B1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C9435E1" w14:textId="77777777" w:rsidR="00444B17" w:rsidRDefault="00444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7AC8" w14:textId="77777777" w:rsidR="007B5777" w:rsidRDefault="007B5777" w:rsidP="00444B17">
      <w:r>
        <w:separator/>
      </w:r>
    </w:p>
  </w:footnote>
  <w:footnote w:type="continuationSeparator" w:id="0">
    <w:p w14:paraId="00B19393" w14:textId="77777777" w:rsidR="007B5777" w:rsidRDefault="007B5777" w:rsidP="00444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260B0"/>
    <w:multiLevelType w:val="multilevel"/>
    <w:tmpl w:val="0D1428B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16053091">
    <w:abstractNumId w:val="0"/>
  </w:num>
  <w:num w:numId="2" w16cid:durableId="1573389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3275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06998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687652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603937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479"/>
    <w:rsid w:val="00085C76"/>
    <w:rsid w:val="00164273"/>
    <w:rsid w:val="002339CF"/>
    <w:rsid w:val="00267727"/>
    <w:rsid w:val="00270273"/>
    <w:rsid w:val="002C532D"/>
    <w:rsid w:val="00362165"/>
    <w:rsid w:val="003B5278"/>
    <w:rsid w:val="003F0597"/>
    <w:rsid w:val="004043AE"/>
    <w:rsid w:val="004307CF"/>
    <w:rsid w:val="00442622"/>
    <w:rsid w:val="00444B17"/>
    <w:rsid w:val="004A0DFA"/>
    <w:rsid w:val="00645548"/>
    <w:rsid w:val="00741DD2"/>
    <w:rsid w:val="007B5777"/>
    <w:rsid w:val="008A73EA"/>
    <w:rsid w:val="008C421D"/>
    <w:rsid w:val="008F355A"/>
    <w:rsid w:val="009E2A0C"/>
    <w:rsid w:val="00A04479"/>
    <w:rsid w:val="00C12AC8"/>
    <w:rsid w:val="00C63AD5"/>
    <w:rsid w:val="00D37A8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0282E"/>
  <w15:docId w15:val="{C688072B-313B-4559-BB59-6442EAFED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th-TH"/>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next w:val="Normal"/>
    <w:link w:val="Heading1Char"/>
    <w:uiPriority w:val="9"/>
    <w:qFormat/>
    <w:pPr>
      <w:keepNext/>
      <w:keepLines/>
      <w:spacing w:before="480"/>
      <w:outlineLvl w:val="0"/>
    </w:pPr>
    <w:rPr>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pPr>
    <w:rPr>
      <w:color w:val="17365D"/>
      <w:sz w:val="52"/>
      <w:szCs w:val="5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i/>
      <w:iCs/>
      <w:color w:val="4F81BD"/>
      <w:sz w:val="24"/>
      <w:szCs w:val="24"/>
    </w:rPr>
  </w:style>
  <w:style w:type="table" w:customStyle="1" w:styleId="a">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Hyperlink">
    <w:name w:val="Hyperlink"/>
    <w:basedOn w:val="DefaultParagraphFont"/>
    <w:uiPriority w:val="99"/>
    <w:unhideWhenUsed/>
    <w:rsid w:val="00444B17"/>
    <w:rPr>
      <w:color w:val="0000FF" w:themeColor="hyperlink"/>
      <w:u w:val="single"/>
    </w:rPr>
  </w:style>
  <w:style w:type="character" w:styleId="UnresolvedMention">
    <w:name w:val="Unresolved Mention"/>
    <w:basedOn w:val="DefaultParagraphFont"/>
    <w:uiPriority w:val="99"/>
    <w:semiHidden/>
    <w:unhideWhenUsed/>
    <w:rsid w:val="00444B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4432/C5MC89" TargetMode="External"/><Relationship Id="rId13" Type="http://schemas.openxmlformats.org/officeDocument/2006/relationships/hyperlink" Target="https://proceedings.neurips.cc/paper/2017/hash/8a20a8621978632d76c43dfd28b67767-Abstract.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TheInterpreters/Student-Dropout-Risk" TargetMode="External"/><Relationship Id="rId12" Type="http://schemas.openxmlformats.org/officeDocument/2006/relationships/hyperlink" Target="https://doi.org/10.1145/2487575.2487579" TargetMode="External"/><Relationship Id="rId17" Type="http://schemas.openxmlformats.org/officeDocument/2006/relationships/hyperlink" Target="https://doi.org/10.1016/j.dss.2024.114229" TargetMode="External"/><Relationship Id="rId2" Type="http://schemas.openxmlformats.org/officeDocument/2006/relationships/styles" Target="styles.xml"/><Relationship Id="rId16" Type="http://schemas.openxmlformats.org/officeDocument/2006/relationships/hyperlink" Target="https://doi.org/10.1145/3442188.34458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mlr.press/v267/qu25d.html" TargetMode="External"/><Relationship Id="rId5" Type="http://schemas.openxmlformats.org/officeDocument/2006/relationships/footnotes" Target="footnotes.xml"/><Relationship Id="rId15" Type="http://schemas.openxmlformats.org/officeDocument/2006/relationships/hyperlink" Target="https://doi.org/10.18653/v1/2020.acl-main.491" TargetMode="External"/><Relationship Id="rId10" Type="http://schemas.openxmlformats.org/officeDocument/2006/relationships/hyperlink" Target="https://doi.org/10.1038/s41586-024-0832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3390/data7110146" TargetMode="External"/><Relationship Id="rId14" Type="http://schemas.openxmlformats.org/officeDocument/2006/relationships/hyperlink" Target="https://doi.org/10.1145/358355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3486</Words>
  <Characters>19871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Catching Students Before They Leave</vt:lpstr>
    </vt:vector>
  </TitlesOfParts>
  <Company/>
  <LinksUpToDate>false</LinksUpToDate>
  <CharactersWithSpaces>23311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Catching Students Before They Leave</dc:title>
  <dc:subject>Updated XDS group project proposal: UCI tabular foundation model and explanation evaluation</dc:subject>
  <dc:creator>python-docx</dc:creator>
  <cp:lastModifiedBy>Khin Hpone</cp:lastModifiedBy>
  <cp:revision>7</cp:revision>
  <dcterms:created xsi:type="dcterms:W3CDTF">2026-10-09T18:53:00Z</dcterms:created>
  <dcterms:modified xsi:type="dcterms:W3CDTF">2026-10-09T19:29:00Z</dcterms:modified>
</cp:coreProperties>
</file>