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docProps/core.xml" ContentType="application/vnd.openxmlformats-package.core-properties+xml"/>
  <ns0:Override PartName="/word/document.xml" ContentType="application/vnd.openxmlformats-officedocument.wordprocessingml.document.main+xml"/>
  <ns0:Override PartName="/word/fontTable.xml" ContentType="application/vnd.openxmlformats-officedocument.wordprocessingml.fontTable+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color w:val="2c5f8a"/>
          <w:sz w:val="40"/>
          <w:szCs w:val="40"/>
          <w:rtl w:val="0"/>
        </w:rPr>
        <w:t>Catching Students Before They Leave</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i w:val="1"/>
          <w:iCs w:val="1"/>
          <w:color w:val="1f2a44"/>
          <w:sz w:val="26"/>
          <w:szCs w:val="26"/>
          <w:rtl w:val="0"/>
        </w:rPr>
        <w:t>Faithful, Stable, and Actionable Explanations of a Tabular Foundation Model for First-Semester Academic Risk</w:t>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color w:val="555555"/>
          <w:sz w:val="21"/>
          <w:szCs w:val="21"/>
          <w:rtl w:val="0"/>
        </w:rPr>
        <w:t xml:space="preserve">XDS — Explainable Data Science  |  Group Project Proposal</w:t>
        <w:br w:type="textWrapping"/>
      </w: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rtl w:val="0"/>
        </w:rPr>
        <w:t>Group Members</w:t>
      </w:r>
    </w:p>
    <w:p w:rsidR="00000000" w:rsidDel="00000000" w:rsidP="00000000" w:rsidRDefault="00000000" w:rsidRPr="00000000" w14:paraId="00000005">
      <w:pPr>
        <w:spacing w:after="80" w:lineRule="auto"/>
        <w:rPr/>
      </w:pPr>
      <w:r w:rsidDel="00000000" w:rsidR="00000000" w:rsidRPr="00000000">
        <w:rPr>
          <w:rtl w:val="0"/>
        </w:rPr>
        <w:t>1) Aye Khin Khin Hpone (Yolanda) — 125970</w:t>
      </w:r>
    </w:p>
    <w:p w:rsidR="00000000" w:rsidDel="00000000" w:rsidP="00000000" w:rsidRDefault="00000000" w:rsidRPr="00000000" w14:paraId="00000006">
      <w:pPr>
        <w:spacing w:after="80" w:lineRule="auto"/>
        <w:rPr/>
      </w:pPr>
      <w:r w:rsidDel="00000000" w:rsidR="00000000" w:rsidRPr="00000000">
        <w:rPr>
          <w:rtl w:val="0"/>
        </w:rPr>
        <w:t>2) Nguyen Liem Son (Lucas) — 126729</w:t>
      </w:r>
    </w:p>
    <w:p w:rsidR="00000000" w:rsidDel="00000000" w:rsidP="00000000" w:rsidRDefault="00000000" w:rsidRPr="00000000" w14:paraId="00000007">
      <w:pPr>
        <w:spacing w:after="80" w:lineRule="auto"/>
        <w:rPr/>
      </w:pPr>
      <w:r w:rsidDel="00000000" w:rsidR="00000000" w:rsidRPr="00000000">
        <w:rPr>
          <w:rtl w:val="0"/>
        </w:rPr>
        <w:t>3) Witchayda Theppithuk (Noey) — 127419</w:t>
      </w:r>
      <w:r w:rsidDel="00000000" w:rsidR="00000000" w:rsidRPr="00000000">
        <w:rPr>
          <w:rtl w:val="0"/>
        </w:rPr>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rtl w:val="0"/>
        </w:rPr>
        <w:t>4) Han Htoo Zaw — 127305</w:t>
      </w:r>
    </w:p>
    <w:p w:rsidR="00000000" w:rsidDel="00000000" w:rsidP="00000000" w:rsidRDefault="00000000" w:rsidRPr="00000000" w14:paraId="00000009">
      <w:pPr>
        <w:spacing w:after="80" w:lineRule="auto"/>
        <w:rPr/>
      </w:pPr>
      <w:r w:rsidDel="00000000" w:rsidR="00000000" w:rsidRPr="00000000">
        <w:rPr>
          <w:rtl w:val="0"/>
        </w:rPr>
        <w:t>5) Pyae Sone Han — 127366</w:t>
      </w:r>
    </w:p>
    <w:p w:rsidR="00000000" w:rsidDel="00000000" w:rsidP="00000000" w:rsidRDefault="00000000" w:rsidRPr="00000000" w14:paraId="0000000A">
      <w:pPr>
        <w:pStyle w:val="Heading1"/>
        <w:spacing w:after="80" w:before="240" w:lineRule="auto"/>
        <w:rPr/>
      </w:pPr>
      <w:r w:rsidDel="00000000" w:rsidR="00000000" w:rsidRPr="00000000">
        <w:rPr>
          <w:color w:val="2c5f8a"/>
          <w:sz w:val="28"/>
          <w:szCs w:val="28"/>
          <w:rtl w:val="0"/>
        </w:rPr>
        <w:t>1. Introduction, Aim and Research Questions</w:t>
      </w: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t>Early identification of dropout risk can enable timely academic or financial support, but an unreliable explanation can misdirect scarce advising resources or produce unjustified conclusions about a student. This project examines first-year undergraduate dropout risk using structured institutional data and TabICL,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is therefore evidence about the reliability and practical value of local explanations. Three questions guide the study: RQ1: does TabICL add predictive value over simpler baselines; RQ2: are its local explanations faithful and stable; RQ3: do they help users anticipate model outputs and identify feasible support actions?</w:t>
      </w:r>
      <w:r w:rsidDel="00000000" w:rsidR="00000000" w:rsidRPr="00000000">
        <w:rPr>
          <w:rtl w:val="0"/>
        </w:rPr>
      </w:r>
      <w:r w:rsidDel="00000000" w:rsidR="00000000" w:rsidRPr="00000000">
        <w:rPr>
          <w:rtl w:val="0"/>
        </w:rPr>
      </w:r>
    </w:p>
    <w:p w:rsidR="00000000" w:rsidDel="00000000" w:rsidP="00000000" w:rsidRDefault="00000000" w:rsidRPr="00000000" w14:paraId="0000000C">
      <w:pPr>
        <w:jc w:val="both"/>
        <w:rPr/>
      </w:pPr>
      <w:sdt>
        <w:sdtPr>
          <w:id w:val="60917386"/>
          <w:tag w:val="goog_rdk_0"/>
        </w:sdtPr>
        <w:sdtContent/>
      </w:sdt>
      <w:r w:rsidDel="00000000" w:rsidR="00000000" w:rsidRPr="00000000">
        <w:rPr>
          <w:rtl w:val="0"/>
        </w:rPr>
        <w:t>All predictive modelling and explanation evaluation use one openly licensed UCI dataset. Short, consented written responses from the human evaluation form the only unstructured component and remain linked to the study cases. No external review corpus or second modelling dataset is included, keeping the prediction task, explanations and human evidence coherently connected.</w:t>
      </w:r>
      <w:r w:rsidDel="00000000" w:rsidR="00000000" w:rsidRPr="00000000">
        <w:rPr/>
      </w:r>
      <w:r w:rsidDel="00000000" w:rsidR="00000000" w:rsidRPr="00000000">
        <w:rPr>
          <w:rtl w:val="0"/>
        </w:rPr>
      </w:r>
    </w:p>
    <w:p w:rsidR="00000000" w:rsidDel="00000000" w:rsidP="00000000" w:rsidRDefault="00000000" w:rsidRPr="00000000" w14:paraId="0000000D">
      <w:pPr>
        <w:pStyle w:val="Heading1"/>
        <w:spacing w:after="80" w:before="240" w:lineRule="auto"/>
        <w:rPr/>
      </w:pPr>
      <w:r w:rsidDel="00000000" w:rsidR="00000000" w:rsidRPr="00000000">
        <w:rPr>
          <w:color w:val="2c5f8a"/>
          <w:sz w:val="28"/>
          <w:szCs w:val="28"/>
          <w:rtl w:val="0"/>
        </w:rPr>
        <w:t>2. Decision Context and Intended User</w:t>
      </w: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t>The explanation is designed for a university student-support officer reviewing currently enrolled first-year students immediately after first-semester results are finalised and before second-semester support decisions. For a student flagged as high risk, the officer decides whether to prioritise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rsidR="00000000" w:rsidDel="00000000" w:rsidP="00000000" w:rsidRDefault="00000000" w:rsidRPr="00000000" w14:paraId="0000000F">
      <w:pPr>
        <w:pStyle w:val="Heading1"/>
        <w:spacing w:after="80" w:before="240" w:lineRule="auto"/>
        <w:rPr/>
      </w:pPr>
      <w:r w:rsidDel="00000000" w:rsidR="00000000" w:rsidRPr="00000000">
        <w:rPr>
          <w:color w:val="2c5f8a"/>
          <w:sz w:val="28"/>
          <w:szCs w:val="28"/>
          <w:rtl w:val="0"/>
        </w:rPr>
        <w:t>3. Data Sources</w:t>
      </w: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Primary modelling data. ‘Predict Students’ Dropout and Academic Success’ (Realinho, Vieira Martins, Machado, &amp; Baptista, 2021), UCI Machine Learning Repository dataset 697, is distributed under CC BY 4.0 and documented in a peer-reviewed data paper (Realinho et al., 2022). It contains 4,424 student records and 36 predictors spanning demographic, socio-economic, admission, administrative, academic and macroeconomic information, with labels Dropout, Enrolled and Graduate. The distributed version has no direct identifiers, and exploratory analysis found no missing values or duplicate rows.</w:t>
      </w:r>
    </w:p>
    <w:p w:rsidR="00000000" w:rsidDel="00000000" w:rsidP="00000000" w:rsidRDefault="00000000" w:rsidRPr="00000000" w14:paraId="00000011">
      <w:pPr>
        <w:jc w:val="both"/>
        <w:rPr/>
      </w:pPr>
      <w:r w:rsidDel="00000000" w:rsidR="00000000" w:rsidRPr="00000000">
        <w:rPr>
          <w:rtl w:val="0"/>
        </w:rPr>
        <w:t>Prospective qualitative data. A voluntary convenience sample from the Asian Institute of Technology (AIT) community will provide brief written rationales, suggested support actions and comments on missing information while evaluating pseudonymised UCI cases. These consented, anonymised responses form the project's only unstructured dataset, remain linked only to study case IDs, and are analysed qualitatively for comprehension, actionability and information gaps. No AIT student records will be collected, and responses will not enter the dropout model or be presented as explanations of real outcomes.</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12">
      <w:pPr>
        <w:pStyle w:val="Heading1"/>
        <w:spacing w:after="80" w:before="240" w:lineRule="auto"/>
        <w:rPr/>
      </w:pPr>
      <w:r w:rsidDel="00000000" w:rsidR="00000000" w:rsidRPr="00000000">
        <w:rPr>
          <w:color w:val="2c5f8a"/>
          <w:sz w:val="28"/>
          <w:szCs w:val="28"/>
          <w:rtl w:val="0"/>
        </w:rPr>
        <w:t>4. Prediction Task and Study Design</w:t>
      </w: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t>The primary prediction task is binary: Dropout (1) versus Graduate (0). Enrolled records are excluded as unresolved outcomes rather than confirmed non-dropout cases; this simplifies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stay tied to the pre-specified binary task.</w:t>
      </w:r>
    </w:p>
    <w:p w:rsidR="00000000" w:rsidDel="00000000" w:rsidP="00000000" w:rsidRDefault="00000000" w:rsidRPr="00000000" w14:paraId="00000014">
      <w:pPr>
        <w:jc w:val="both"/>
        <w:rPr/>
      </w:pPr>
      <w:r w:rsidDel="00000000" w:rsidR="00000000" w:rsidRPr="00000000">
        <w:rPr>
          <w:rtl w:val="0"/>
        </w:rPr>
        <w:t>The prediction time is immediately after first-semester results. Only variables available by then may enter the model: enrolment/admission records, demographic and socio-economic fields, administrative status, macroeconomic indicators, and first-semester outcomes. Second-semester curricular variables are excluded as temporal leakage. First-semester grades and approved units are predictive but already historical, so they are treated as immutable in counterfactual recourse.</w:t>
      </w:r>
    </w:p>
    <w:p w:rsidR="00000000" w:rsidDel="00000000" w:rsidP="00000000" w:rsidRDefault="00000000" w:rsidRPr="00000000" w14:paraId="00000015">
      <w:pPr>
        <w:pStyle w:val="Heading1"/>
        <w:spacing w:after="80" w:before="240" w:lineRule="auto"/>
        <w:rPr/>
      </w:pPr>
      <w:r w:rsidDel="00000000" w:rsidR="00000000" w:rsidRPr="00000000">
        <w:rPr>
          <w:color w:val="2c5f8a"/>
          <w:sz w:val="28"/>
          <w:szCs w:val="28"/>
          <w:rtl w:val="0"/>
        </w:rPr>
        <w:t>5. Proposed Methodology</w:t>
      </w:r>
      <w:r w:rsidDel="00000000" w:rsidR="00000000" w:rsidRPr="00000000">
        <w:rPr>
          <w:rtl w:val="0"/>
        </w:rPr>
      </w:r>
    </w:p>
    <w:p w:rsidR="00000000" w:rsidDel="00000000" w:rsidP="00000000" w:rsidRDefault="00000000" w:rsidRPr="00000000" w14:paraId="00000016">
      <w:pPr>
        <w:pStyle w:val="Heading2"/>
        <w:spacing w:after="40" w:before="160" w:lineRule="auto"/>
        <w:rPr/>
      </w:pPr>
      <w:r w:rsidDel="00000000" w:rsidR="00000000" w:rsidRPr="00000000">
        <w:rPr>
          <w:color w:val="1f2a44"/>
          <w:sz w:val="24"/>
          <w:szCs w:val="24"/>
          <w:rtl w:val="0"/>
        </w:rPr>
        <w:t>5.1  Predictive Modelling and Evaluation</w:t>
      </w: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t>A fixed, stratified 70/15/15 train/validation/test split supports identical comparisons. Protocol amendment 1.1 added a native main-effects Explainable Boosting Machine (EBM) before any test access without changing the split, seed, features or operating policy. Validation-only ROC-AUC was 0.952 for frozen TabICL 2.2.0 (four estimators), 0.946 for EBM, 0.945 for logistic regression and XGBoost, and 0.923 for a depth-3 tree: a modest complex-model gain, not superiority. EBM uses raw named variables with explicit nominal types and no interactions, rather than the one-hot/scaled baseline pipeline. The policy ranks each cohort by risk and flags at most the top 20%, with stable row-order tie-breaking. TabICL then achieved 0.507 dropout recall, 1.000 precision and a 0.199 flag rate; capacity defines the policy. At admission time, EBM marginally led ROC-AUC (0.8753), followed by XGBoost (0.8752) and TabICL (0.8739), showing that the preferred model may depend on timing. Final same-test-set evaluation will report balanced accuracy, macro-F1, ROC-AUC, recall, precision, flag rate, Brier score, calibration, confusion matrices and runtime, with complexity justified only by observed evidence.</w:t>
      </w:r>
    </w:p>
    <w:p w:rsidR="00000000" w:rsidDel="00000000" w:rsidP="00000000" w:rsidRDefault="00000000" w:rsidRPr="00000000" w14:paraId="00000018">
      <w:pPr>
        <w:pStyle w:val="Heading2"/>
        <w:spacing w:after="40" w:before="160" w:lineRule="auto"/>
        <w:rPr/>
      </w:pPr>
      <w:r w:rsidDel="00000000" w:rsidR="00000000" w:rsidRPr="00000000">
        <w:rPr>
          <w:color w:val="1f2a44"/>
          <w:sz w:val="24"/>
          <w:szCs w:val="24"/>
          <w:rtl w:val="0"/>
        </w:rPr>
        <w:t>5.2  Explanation Method and Faithfulness Evaluation</w:t>
      </w: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As a TFM is not a tree ensemble, TreeSHAP exactness will not be claimed. Model-agnostic permutation SHAP (Lundberg &amp; Lee, 2017) explains dropout probability using 25 training-only background rows and 67 evaluations, frozen after validation runtime checks. Related raw and derived first-semester variables are masked as semantic groups; derived rates and indicators are recomputed to avoid internally inconsistent records. Ranked deletion is compared with 50 random orders using cumulative absolute probability change, so faithful protective and risk-increasing contributions are both credited; the primary statistic is the ranked-minus-random area with case-level uncertainty. Similar curves indicate inadequate fidelity, and masking measures reliance rather than intervention. A validation integration check reconstructed TabICL probabilities within 4.1e-8, while a synthetic additive white-box check recovered known attribution ranks with Spearman correlation 1.0. Repeated grouped permutation importance supplies global reliance, and ALE plots for three validation-selected numerical features examine global effects with less off-manifold risk than PDP under correlation.</w:t>
      </w:r>
    </w:p>
    <w:p w:rsidR="00000000" w:rsidDel="00000000" w:rsidP="00000000" w:rsidRDefault="00000000" w:rsidRPr="00000000" w14:paraId="0000001A">
      <w:pPr>
        <w:pStyle w:val="Heading2"/>
        <w:spacing w:after="40" w:before="160" w:lineRule="auto"/>
        <w:rPr/>
      </w:pPr>
      <w:r w:rsidDel="00000000" w:rsidR="00000000" w:rsidRPr="00000000">
        <w:rPr>
          <w:color w:val="1f2a44"/>
          <w:sz w:val="24"/>
          <w:szCs w:val="24"/>
          <w:rtl w:val="0"/>
        </w:rPr>
        <w:t>5.3  Explanation Stability Evaluation</w:t>
      </w:r>
      <w:r w:rsidDel="00000000" w:rsidR="00000000" w:rsidRPr="00000000">
        <w:rPr>
          <w:rtl w:val="0"/>
        </w:rPr>
      </w:r>
    </w:p>
    <w:p w:rsidR="00000000" w:rsidDel="00000000" w:rsidP="00000000" w:rsidRDefault="00000000" w:rsidRPr="00000000" w14:paraId="0000001B">
      <w:pPr>
        <w:jc w:val="both"/>
        <w:rPr/>
      </w:pPr>
      <w:r w:rsidDel="00000000" w:rsidR="00000000" w:rsidRPr="00000000">
        <w:rPr>
          <w:rtl w:val="0"/>
        </w:rPr>
        <w:t>The stability evaluation uses 20 held-out cases selected in advance across predicted-risk levels. For each case, the model-agnostic explainer runs 10 times, independently varying explainer seed and training-background sample so stochastic and reference-population variation are reported separately. Mean pairwise top-five overlap—the number of shared features divided by five—is primary, with rank correlation secondary. Small valid 1% continuous-feature perturbations provide a third test only where absolute predicted-probability change remains at most 0.01; ranges and categorical validity are preserved. These settings are frozen on validation before test analysis. Persistent instability will be shown in the interface, not concealed through selective reruns (Tiukhova et al., 2024).</w:t>
      </w:r>
    </w:p>
    <w:p w:rsidR="00000000" w:rsidDel="00000000" w:rsidP="00000000" w:rsidRDefault="00000000" w:rsidRPr="00000000" w14:paraId="0000001C">
      <w:pPr>
        <w:pStyle w:val="Heading2"/>
        <w:spacing w:after="40" w:before="160" w:lineRule="auto"/>
        <w:rPr/>
      </w:pPr>
      <w:r w:rsidDel="00000000" w:rsidR="00000000" w:rsidRPr="00000000">
        <w:rPr>
          <w:color w:val="1f2a44"/>
          <w:sz w:val="24"/>
          <w:szCs w:val="24"/>
          <w:rtl w:val="0"/>
        </w:rPr>
        <w:t>5.4  Human Evaluation</w:t>
      </w: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t>Following established forward-simulation evaluation of explanations (Hase &amp; Bansal, 2020), the human study will recruit a voluntary convenience sample from the AIT community, targeting 8–10 participants where recruitment permits and a minimum of 4–5 split evenly between two groups. A lightweight browser-based interface will present the same 10 pseudonymised, held-out UCI profiles in randomised order and record each participant's prediction, confidence, completion time and written responses. The control view shows the profile alone; the explanation view adds feature contributions without revealing the model's output, probability or threshold before submission. Each participant's accuracy across their 10 cases is the primary unit of analysis; group accuracy and completion time will be compared descriptively, and the facilitator will record two or three representative comments made while participants work, alongside the coded written responses (Section 5.7). Unless student-support professionals are recruited, participants are proxies for the intended user, testing comprehensibility rather than professional effectiveness, and no unsupported claim of statistical significance will be made.</w:t>
      </w:r>
    </w:p>
    <w:p w:rsidR="00000000" w:rsidDel="00000000" w:rsidP="00000000" w:rsidRDefault="00000000" w:rsidRPr="00000000" w14:paraId="0000001E">
      <w:pPr>
        <w:pStyle w:val="Heading2"/>
        <w:spacing w:after="40" w:before="160" w:lineRule="auto"/>
        <w:rPr/>
      </w:pPr>
      <w:r w:rsidDel="00000000" w:rsidR="00000000" w:rsidRPr="00000000">
        <w:rPr>
          <w:color w:val="1f2a44"/>
          <w:sz w:val="24"/>
          <w:szCs w:val="24"/>
          <w:rtl w:val="0"/>
        </w:rPr>
        <w:t>5.5  Actionability and Counterfactual Analysis</w:t>
      </w: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t>Before modelling, features are classified by temporal availability and feasibility. Immutable or historical fields include age at enrolment, nationality, prior qualification, first-semester grades and completed units. Potentially changeable conditions, such as resolving outstanding tuition or debt status, are permitted in a counterfactual only when realistic at the decision point, with institution-controlled support distinguished from student-controlled action. The search identifies the smallest feasible change crossing the decision threshold while enforcing valid ranges and dependencies; cases without feasible recourse are reported explicitly. Consistent with Karimi et al. (2021), these outputs describe model behaviour, not causal promises.</w:t>
      </w:r>
    </w:p>
    <w:p w:rsidR="00000000" w:rsidDel="00000000" w:rsidP="00000000" w:rsidRDefault="00000000" w:rsidRPr="00000000" w14:paraId="00000020">
      <w:pPr>
        <w:pStyle w:val="Heading2"/>
        <w:spacing w:after="40" w:before="160" w:lineRule="auto"/>
        <w:rPr/>
      </w:pPr>
      <w:r w:rsidDel="00000000" w:rsidR="00000000" w:rsidRPr="00000000">
        <w:rPr>
          <w:color w:val="1f2a44"/>
          <w:sz w:val="24"/>
          <w:szCs w:val="24"/>
          <w:rtl w:val="0"/>
        </w:rPr>
        <w:t>5.6  System Architecture, Workflow and Expected Outputs</w:t>
      </w: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The end-to-end workflow produces a frozen comparison of TabICL and its baselines, quantitative explanation evidence, constrained counterfactuals, subgroup diagnostics, human-evaluation findings, a completed model card and reproducible report artefacts. A lightweight browser-based prototype provides two controlled modes: a decision-support demonstration showing the frozen prediction, local explanation, reliability warnings and feasible support options, and a blinded study view that suppresses the answer until the participant responds, loading the same versioned preprocessing and model artefacts used in evaluation as a research demonstration, not a production AIT service.</w:t>
      </w:r>
    </w:p>
    <w:tbl>
      <w:tblPr>
        <w:tblW w:type="auto" w:w="0"/>
        <w:jc w:val="center"/>
        <w:tblLayout w:type="fixed"/>
        <w:tblLook w:firstColumn="1" w:firstRow="1" w:lastColumn="0" w:lastRow="0" w:noHBand="0" w:noVBand="1" w:val="04A0"/>
      </w:tblPr>
      <w:tblGrid>
        <w:gridCol w:w="2664"/>
        <w:gridCol w:w="360"/>
        <w:gridCol w:w="2664"/>
        <w:gridCol w:w="360"/>
        <w:gridCol w:w="2664"/>
      </w:tblGrid>
      <w:tr>
        <w:trPr>
          <w:cantSplit/>
        </w:trPr>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b/>
                <w:color w:val="1F4E79"/>
                <w:sz w:val="14"/>
              </w:rPr>
              <w:t>1. Decision frame</w:t>
              <w:br/>
              <w:t>intended user · decision · timing</w:t>
              <w:br/>
              <w:t>binary target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b/>
                <w:color w:val="1F4E79"/>
                <w:sz w:val="14"/>
              </w:rPr>
              <w:t>2. Data design</w:t>
              <w:br/>
              <w:t>UCI audit · feature windows</w:t>
              <w:br/>
              <w:t>frozen 70/15/15 IDs</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3. Model development</w:t>
              <w:br/>
              <w:t>train-only preparation</w:t>
              <w:br/>
              <w:t>TabICL + four baselines</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b/>
                <w:color w:val="1F4E79"/>
                <w:sz w:val="14"/>
              </w:rPr>
              <w:t>6. Local explanations</w:t>
              <w:br/>
              <w:t>preselected held-out cases</w:t>
              <w:br/>
              <w:t>model-agnostic SHAP</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5. Final predictive test</w:t>
              <w:br/>
              <w:t>performance · calibration</w:t>
              <w:br/>
              <w:t>runtime · error analysis</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4. Validation freeze</w:t>
              <w:br/>
              <w:t>model · threshold · SHAP budget</w:t>
              <w:br/>
              <w:t>masking/perturbation protocol</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b/>
                <w:color w:val="1F4E79"/>
                <w:sz w:val="14"/>
              </w:rPr>
              <w:t>7. Explanation evidence</w:t>
              <w:br/>
              <w:t>deletion · 10-run overlap</w:t>
              <w:br/>
              <w:t>perturbation · recourse</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b/>
                <w:color w:val="1F4E79"/>
                <w:sz w:val="14"/>
              </w:rPr>
              <w:t>8. Decision-support study</w:t>
              <w:br/>
              <w:t>subgroups/proxies · web prototype</w:t>
              <w:br/>
              <w:t>AIT forward simulation + coding</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b/>
                <w:color w:val="1F4E79"/>
                <w:sz w:val="14"/>
              </w:rPr>
              <w:t>9. Reporting package</w:t>
              <w:br/>
              <w:t>model card · limitations</w:t>
              <w:br/>
              <w:t>reproducible report + prototype</w:t>
            </w:r>
          </w:p>
        </w:tc>
      </w:tr>
    </w:tbl>
    <w:p>
      <w:pPr>
        <w:spacing w:after="120"/>
        <w:jc w:val="center"/>
      </w:pPr>
      <w:r>
        <w:rPr>
          <w:i/>
          <w:sz w:val="16"/>
        </w:rPr>
        <w:t>Figure 1. Proposed research workflow. Model, threshold and explanation protocols will be frozen on validation data before the final test evaluation. Ethics, data governance and reproducibility apply throughout.</w:t>
      </w:r>
    </w:p>
    <w:p>
      <w:pPr>
        <w:pStyle w:val="Heading2"/>
      </w:pPr>
      <w:r>
        <w:t>5.7  Qualitative Analysis of Human-Study Responses</w:t>
      </w:r>
    </w:p>
    <w:p>
      <w:pPr/>
      <w:r>
        <w:t>After the prediction task, each participant explains the judgement, proposes a support action, and flags missing information. A pre-defined coding guide groups responses into comprehension, actionability and information-gap categories; two reviewers independently code at least 20% of responses to report raw agreement, then resolve disagreements and report aggregate counts with paraphrased examples. This qualitative analysis complements the forward-simulation results but does not train, validate or explain the dropout model.</w:t>
      </w:r>
    </w:p>
    <w:p w:rsidR="00000000" w:rsidDel="00000000" w:rsidP="00000000" w:rsidRDefault="00000000" w:rsidRPr="00000000" w14:paraId="00000022">
      <w:pPr>
        <w:pStyle w:val="Heading1"/>
        <w:spacing w:after="80" w:before="240" w:lineRule="auto"/>
        <w:rPr/>
      </w:pPr>
      <w:r w:rsidDel="00000000" w:rsidR="00000000" w:rsidRPr="00000000">
        <w:rPr>
          <w:color w:val="2c5f8a"/>
          <w:sz w:val="28"/>
          <w:szCs w:val="28"/>
          <w:rtl w:val="0"/>
        </w:rPr>
        <w:t>6. Ethics, Fairness and Data Governance</w:t>
      </w: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t>The UCI dataset is publicly available under CC BY 4.0 with no direct identifiers; its citation and licence will be preserved, the raw file unchanged, and all transformations documented. AIT human-study participation will be voluntary, informed-consent based, and penalty-free to decline or withdraw. No names, AIT identifiers or administrative records will be collected; raw free text stays outside version control, accidental identifiers are removed, and only aggregate or paraphrased findings are reported. Before recruitment, the team will confirm with the course instructor whether institutional approval is required, obtaining it where applicable.</w:t>
      </w:r>
    </w:p>
    <w:p w:rsidR="00000000" w:rsidDel="00000000" w:rsidP="00000000" w:rsidRDefault="00000000" w:rsidRPr="00000000" w14:paraId="00000024">
      <w:pPr>
        <w:jc w:val="both"/>
        <w:rPr/>
      </w:pPr>
      <w:r w:rsidDel="00000000" w:rsidR="00000000" w:rsidRPr="00000000">
        <w:rPr>
          <w:rtl w:val="0"/>
        </w:rPr>
        <w:t>Protected attributes in the UCI data—gender, nationality, age, international status, displaced status and special needs—will be documented explicitly. For groups with at least 30 records, the frozen operating policy will report flag rate, true- and false-positive rates, precision, mean predicted risk and calibration gap. Cramér's V measures categorical association and the correlation ratio measures continuous-feature association with multi-category protected attributes. These descriptive diagnostics are not proof of fairness.</w:t>
      </w:r>
    </w:p>
    <w:p w:rsidR="00000000" w:rsidDel="00000000" w:rsidP="00000000" w:rsidRDefault="00000000" w:rsidRPr="00000000" w14:paraId="00000025">
      <w:pPr>
        <w:jc w:val="both"/>
        <w:rPr/>
      </w:pPr>
      <w:r w:rsidDel="00000000" w:rsidR="00000000" w:rsidRPr="00000000">
        <w:rPr>
          <w:rtl w:val="0"/>
        </w:rPr>
        <w:t>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supports outreach prioritisation, not autonomous denial of education or services.</w:t>
      </w:r>
    </w:p>
    <w:p w:rsidR="00000000" w:rsidDel="00000000" w:rsidP="00000000" w:rsidRDefault="00000000" w:rsidRPr="00000000" w14:paraId="00000026">
      <w:pPr>
        <w:pStyle w:val="Heading1"/>
        <w:spacing w:after="80" w:before="240" w:lineRule="auto"/>
        <w:rPr/>
      </w:pPr>
      <w:r w:rsidDel="00000000" w:rsidR="00000000" w:rsidRPr="00000000">
        <w:rPr>
          <w:color w:val="2c5f8a"/>
          <w:sz w:val="28"/>
          <w:szCs w:val="28"/>
          <w:rtl w:val="0"/>
        </w:rPr>
        <w:t>7. Feasibility and Model Complexity</w:t>
      </w: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t>TabICL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3.4e-16, and global term strengths plus fixed low-, median- and high-risk local decompositions are exported. Logistic regression and the depth-3 tree provide further simulatable comparisons. TabICL's validation ROC-AUC exceeds EBM by only 0.006, so the project does not presume that complexity is operationally justified; final same-test-set performance, calibration, runtime and explanation evidence will determine whether TabICL remains a research comparison or EBM is the more defensible deployment candidate.</w:t>
      </w:r>
    </w:p>
    <w:p w:rsidR="00000000" w:rsidDel="00000000" w:rsidP="00000000" w:rsidRDefault="00000000" w:rsidRPr="00000000" w14:paraId="00000028">
      <w:pPr>
        <w:pStyle w:val="Heading1"/>
        <w:spacing w:after="80" w:before="240" w:lineRule="auto"/>
        <w:rPr/>
      </w:pPr>
      <w:r w:rsidDel="00000000" w:rsidR="00000000" w:rsidRPr="00000000">
        <w:rPr>
          <w:color w:val="2c5f8a"/>
          <w:sz w:val="28"/>
          <w:szCs w:val="28"/>
          <w:rtl w:val="0"/>
        </w:rPr>
        <w:t>8. Reproducibility and Documentation</w:t>
      </w: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t>The repository separates untouched source data, EDA, modelling code, explanation evaluation, study materials, tables and figures. A pinned core environment and validation commands support a fresh clone. Seed 42 and source-row identifiers define the split; protocol 1.1, 19 in-scope tests, four baselines, capacity metrics, exact EBM decomposition, the TabICL/SHAP integration check, grouped importance, ALE and subgroup audits are implemented. Before final submission, one command will regenerate all report artefacts and a separate command will launch the prototype from frozen artefacts. The model card will record intended use, data, final metrics, explanation evidence, subgroup results and limitations.</w:t>
      </w:r>
    </w:p>
    <w:p w:rsidR="00000000" w:rsidDel="00000000" w:rsidP="00000000" w:rsidRDefault="00000000" w:rsidRPr="00000000" w14:paraId="0000003E">
      <w:pPr>
        <w:spacing w:after="40" w:lineRule="auto"/>
        <w:rPr/>
      </w:pPr>
      <w:r w:rsidDel="00000000" w:rsidR="00000000" w:rsidRPr="00000000">
        <w:rPr>
          <w:rtl w:val="0"/>
        </w:rPr>
      </w:r>
    </w:p>
    <w:p w:rsidR="00000000" w:rsidDel="00000000" w:rsidP="00000000" w:rsidRDefault="00000000" w:rsidRPr="00000000" w14:paraId="0000003F">
      <w:pPr>
        <w:pStyle w:val="Heading1"/>
        <w:spacing w:after="80" w:before="240" w:lineRule="auto"/>
        <w:rPr/>
      </w:pPr>
      <w:r w:rsidDel="00000000" w:rsidR="00000000" w:rsidRPr="00000000">
        <w:rPr>
          <w:color w:val="2c5f8a"/>
          <w:sz w:val="28"/>
          <w:szCs w:val="28"/>
          <w:rtl w:val="0"/>
        </w:rPr>
        <w:t>9. Expected Contribution, Limitations and Contingencies</w:t>
      </w: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The proposed contribution extends beyond accuracy, asking whether TabICL's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form a coherent evaluation. Limitations include the single-institution UCI context, exclusion of unresolved Enrolled outcomes, approximate model-agnostic attribution, non-causal observational data, a small convenience sample, and likely non-professional audience proxies; therefore, the AIT study tests comprehensibility, not predictive validity or deployment suitability at AIT. If recruitment reaches only the minimum sample, the study stays descriptive. Findings remain valuable if EBM matches or exceeds TabICL, explanations are unstable or unfaithful, participants gain no benefit, or feasible recourse is unavailable.</w:t>
      </w:r>
    </w:p>
    <w:p>
      <w:r>
        <w:rPr>
          <w:sz w:val="20"/>
        </w:rPr>
        <w:t>Code and data availability. The versioned project repository will be released at https://github.com/TheInterpreters/Proposal_EDA with code, tests, non-sensitive tables and reproduction commands; raw human free text will remain excluded.</w:t>
      </w:r>
    </w:p>
    <w:p w:rsidR="00000000" w:rsidDel="00000000" w:rsidP="00000000" w:rsidRDefault="00000000" w:rsidRPr="00000000" w14:paraId="00000041">
      <w:pPr>
        <w:pStyle w:val="Heading1"/>
        <w:pageBreakBefore/>
        <w:spacing w:after="80" w:before="240" w:lineRule="auto"/>
        <w:rPr/>
      </w:pPr>
      <w:r w:rsidDel="00000000" w:rsidR="00000000" w:rsidRPr="00000000">
        <w:rPr>
          <w:color w:val="2c5f8a"/>
          <w:sz w:val="28"/>
          <w:szCs w:val="28"/>
          <w:rtl w:val="0"/>
        </w:rPr>
        <w:t>Appendix A. References</w:t>
      </w:r>
      <w:r w:rsidDel="00000000" w:rsidR="00000000" w:rsidRPr="00000000">
        <w:rPr>
          <w:rtl w:val="0"/>
        </w:rPr>
      </w:r>
    </w:p>
    <w:p w:rsidR="00000000" w:rsidDel="00000000" w:rsidP="00000000" w:rsidRDefault="00000000" w:rsidRPr="00000000" w14:paraId="00000042">
      <w:pPr>
        <w:jc w:val="left"/>
        <w:rPr/>
      </w:pPr>
      <w:r w:rsidDel="00000000" w:rsidR="00000000" w:rsidRPr="00000000">
        <w:rPr>
          <w:rtl w:val="0"/>
        </w:rPr>
        <w:t>Realinho, V., Vieira Martins, M., Machado, J., &amp; Baptista, L. (2021). Predict Students’ Dropout and Academic Success [Dataset]. UCI Machine Learning Repository. https://doi.org/10.24432/C5MC89</w:t>
        <w:br/>
        <w:t>Realinho, V., Machado, J., Baptista, L., &amp; Martins, M. V. (2022). Predicting student dropout and academic success. Data, 7(11), 146. https://doi.org/10.3390/data7110146</w:t>
        <w:br/>
        <w:t>Hollmann, N., Müller, S., Purucker, L., Krishnakumar, A., Körfer, M., Hoo, S. B., Schirrmeister, R. T., &amp; Hutter, F. (2025). Accurate predictions on small data with a tabular foundation model. Nature, 637, 319–326. https://doi.org/10.1038/s41586-024-08328-6</w:t>
        <w:br/>
        <w:t>Qu, J., Holzmüller, D., Varoquaux, G., &amp; Le Morvan, M. (2025). TabICL: A tabular foundation model for in-context learning on large data. Proceedings of the 42nd International Conference on Machine Learning, PMLR 267, 50817–50847. https://proceedings.mlr.press/v267/qu25d.html</w:t>
        <w:br/>
        <w:t>Lou, Y., Caruana, R., Gehrke, J., &amp; Hooker, G. (2013). Accurate intelligible models with pairwise interactions. Proceedings of the 19th ACM SIGKDD International Conference on Knowledge Discovery and Data Mining, 623–631. https://doi.org/10.1145/2487575.2487579</w:t>
        <w:br/>
        <w:t>Lundberg, S. M., &amp; Lee, S.-I. (2017). A unified approach to interpreting model predictions. Advances in Neural Information Processing Systems, 30, 4765–4774. https://proceedings.neurips.cc/paper/2017/hash/8a20a8621978632d76c43dfd28b67767-Abstract.html</w:t>
        <w:br/>
        <w:t>Nauta, M., Trienes, J., Pathak, S., Nguyen, E., Peters, M., Schmitt, Y., Schlötterer, J., van Keulen, M., &amp; Seifert, C. (2023). From anecdotal evidence to quantitative evaluation methods: A systematic review on evaluating explainable AI. ACM Computing Surveys, 55(13s), Article 295. https://doi.org/10.1145/3583558</w:t>
        <w:br/>
        <w:t>Hase, P., &amp; Bansal, M. (2020). Evaluating explainable AI: Which algorithmic explanations help users predict model behavior? Proceedings of the 58th Annual Meeting of the Association for Computational Linguistics, 5540–5552. https://doi.org/10.18653/v1/2020.acl-main.491</w:t>
        <w:br/>
        <w:t>Karimi, A.-H., Schölkopf, B., &amp; Valera, I. (2021). Algorithmic recourse: From counterfactual explanations to interventions. Proceedings of the 2021 ACM Conference on Fairness, Accountability, and Transparency, 353–362. https://doi.org/10.1145/3442188.3445899</w:t>
        <w:br/>
        <w:t>Tiukhova, E., Vemuri, P., López Flores, N., Islind, A. S., Óskarsdóttir, M., Poelmans, S., Baesens, B., &amp; Snoeck, M. (2024). Explainable learning analytics: Assessing the stability of student success prediction models by means of explainable AI. Decision Support Systems, 182, 114229. https://doi.org/10.1016/j.dss.2024.114229</w:t>
      </w:r>
    </w:p>
    <w:sectPr>
      <w:pgSz w:h="15840" w:w="12240" w:orient="portrait"/>
      <w:pgMar w:bottom="720" w:top="72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0" w:line="240" w:lineRule="auto"/>
    </w:pPr>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ns0:Relationships xmlns:ns0="http://schemas.openxmlformats.org/package/2006/relationships"><ns0:Relationship Id="rId1" Type="http://schemas.openxmlformats.org/officeDocument/2006/relationships/theme" Target="theme/theme1.xml" /><ns0:Relationship Id="rId3" Type="http://schemas.openxmlformats.org/officeDocument/2006/relationships/settings" Target="settings.xml" /><ns0:Relationship Id="rId4" Type="http://schemas.openxmlformats.org/officeDocument/2006/relationships/fontTable" Target="fontTable.xml" /><ns0:Relationship Id="rId5" Type="http://schemas.openxmlformats.org/officeDocument/2006/relationships/numbering" Target="numbering.xml" /><ns0:Relationship Id="rId6" Type="http://schemas.openxmlformats.org/officeDocument/2006/relationships/styles" Target="style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title>Catching Students Before They Leave</dc:title>
  <dc:subject>Updated XDS group project proposal: UCI tabular foundation model and explanation evaluation</dc:subject>
  <dcterms:modified xsi:type="dcterms:W3CDTF">2026-09-17T09:39:17Z</dcterms:modified>
</cp:coreProperties>
</file>