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89C400" w14:textId="77777777" w:rsidR="00736E2C" w:rsidRDefault="00000000" w:rsidP="00736E2C">
      <w:pPr>
        <w:spacing w:after="40"/>
        <w:jc w:val="center"/>
        <w:rPr>
          <w:rFonts w:ascii="Times New Roman" w:eastAsia="Times New Roman" w:hAnsi="Times New Roman"/>
          <w:b/>
          <w:sz w:val="32"/>
          <w:szCs w:val="32"/>
        </w:rPr>
      </w:pPr>
      <w:r w:rsidRPr="00736E2C">
        <w:rPr>
          <w:rFonts w:ascii="Times New Roman" w:eastAsia="Times New Roman" w:hAnsi="Times New Roman"/>
          <w:b/>
          <w:sz w:val="32"/>
          <w:szCs w:val="32"/>
        </w:rPr>
        <w:t xml:space="preserve">Trustworthy Explanations for Student Dropout Risk: Comparing </w:t>
      </w:r>
    </w:p>
    <w:p w14:paraId="721E1404" w14:textId="550B31FE" w:rsidR="00E4592D" w:rsidRPr="00736E2C" w:rsidRDefault="00000000" w:rsidP="00736E2C">
      <w:pPr>
        <w:spacing w:after="40"/>
        <w:jc w:val="center"/>
        <w:rPr>
          <w:b/>
          <w:sz w:val="32"/>
          <w:szCs w:val="32"/>
        </w:rPr>
      </w:pPr>
      <w:r w:rsidRPr="00736E2C">
        <w:rPr>
          <w:rFonts w:ascii="Times New Roman" w:eastAsia="Times New Roman" w:hAnsi="Times New Roman"/>
          <w:b/>
          <w:sz w:val="32"/>
          <w:szCs w:val="32"/>
        </w:rPr>
        <w:t>Black-Box and Interpretable Models</w:t>
      </w:r>
    </w:p>
    <w:p w14:paraId="6F10C09E" w14:textId="77777777" w:rsidR="00736E2C" w:rsidRDefault="00736E2C">
      <w:pPr>
        <w:spacing w:after="80"/>
        <w:jc w:val="both"/>
        <w:rPr>
          <w:rFonts w:ascii="Times New Roman" w:eastAsia="Times New Roman" w:hAnsi="Times New Roman"/>
          <w:i/>
          <w:iCs/>
          <w:sz w:val="20"/>
          <w:szCs w:val="20"/>
        </w:rPr>
      </w:pPr>
    </w:p>
    <w:p w14:paraId="293CD5A0" w14:textId="25310EF7" w:rsidR="00736E2C" w:rsidRPr="00736E2C" w:rsidRDefault="00000000" w:rsidP="00736E2C">
      <w:pPr>
        <w:spacing w:after="80"/>
        <w:jc w:val="center"/>
        <w:rPr>
          <w:rFonts w:ascii="Times New Roman" w:eastAsia="Times New Roman" w:hAnsi="Times New Roman"/>
          <w:sz w:val="20"/>
          <w:szCs w:val="20"/>
        </w:rPr>
      </w:pPr>
      <w:r w:rsidRPr="00736E2C">
        <w:rPr>
          <w:rFonts w:ascii="Times New Roman" w:eastAsia="Times New Roman" w:hAnsi="Times New Roman"/>
          <w:sz w:val="20"/>
          <w:szCs w:val="20"/>
        </w:rPr>
        <w:t xml:space="preserve">Aye Khin </w:t>
      </w:r>
      <w:proofErr w:type="spellStart"/>
      <w:r w:rsidRPr="00736E2C">
        <w:rPr>
          <w:rFonts w:ascii="Times New Roman" w:eastAsia="Times New Roman" w:hAnsi="Times New Roman"/>
          <w:sz w:val="20"/>
          <w:szCs w:val="20"/>
        </w:rPr>
        <w:t>Khin</w:t>
      </w:r>
      <w:proofErr w:type="spellEnd"/>
      <w:r w:rsidRPr="00736E2C">
        <w:rPr>
          <w:rFonts w:ascii="Times New Roman" w:eastAsia="Times New Roman" w:hAnsi="Times New Roman"/>
          <w:sz w:val="20"/>
          <w:szCs w:val="20"/>
        </w:rPr>
        <w:t xml:space="preserve"> </w:t>
      </w:r>
      <w:proofErr w:type="spellStart"/>
      <w:r w:rsidRPr="00736E2C">
        <w:rPr>
          <w:rFonts w:ascii="Times New Roman" w:eastAsia="Times New Roman" w:hAnsi="Times New Roman"/>
          <w:sz w:val="20"/>
          <w:szCs w:val="20"/>
        </w:rPr>
        <w:t>Hpone</w:t>
      </w:r>
      <w:proofErr w:type="spellEnd"/>
      <w:r w:rsidRPr="00736E2C">
        <w:rPr>
          <w:rFonts w:ascii="Times New Roman" w:eastAsia="Times New Roman" w:hAnsi="Times New Roman"/>
          <w:sz w:val="20"/>
          <w:szCs w:val="20"/>
        </w:rPr>
        <w:t xml:space="preserve"> (Yolanda) </w:t>
      </w:r>
      <w:proofErr w:type="gramStart"/>
      <w:r w:rsidRPr="00736E2C">
        <w:rPr>
          <w:rFonts w:ascii="Times New Roman" w:eastAsia="Times New Roman" w:hAnsi="Times New Roman"/>
          <w:sz w:val="20"/>
          <w:szCs w:val="20"/>
        </w:rPr>
        <w:t xml:space="preserve">125970; </w:t>
      </w:r>
      <w:r w:rsidR="00736E2C">
        <w:rPr>
          <w:rFonts w:ascii="Times New Roman" w:eastAsia="Times New Roman" w:hAnsi="Times New Roman"/>
          <w:sz w:val="20"/>
          <w:szCs w:val="20"/>
        </w:rPr>
        <w:t xml:space="preserve"> </w:t>
      </w:r>
      <w:r w:rsidRPr="00736E2C">
        <w:rPr>
          <w:rFonts w:ascii="Times New Roman" w:eastAsia="Times New Roman" w:hAnsi="Times New Roman"/>
          <w:sz w:val="20"/>
          <w:szCs w:val="20"/>
        </w:rPr>
        <w:t>Nguyen</w:t>
      </w:r>
      <w:proofErr w:type="gramEnd"/>
      <w:r w:rsidRPr="00736E2C">
        <w:rPr>
          <w:rFonts w:ascii="Times New Roman" w:eastAsia="Times New Roman" w:hAnsi="Times New Roman"/>
          <w:sz w:val="20"/>
          <w:szCs w:val="20"/>
        </w:rPr>
        <w:t xml:space="preserve"> Liem Son (Lucas) 126729;</w:t>
      </w:r>
    </w:p>
    <w:p w14:paraId="06F2DA36" w14:textId="069FFD8F" w:rsidR="00E4592D" w:rsidRPr="00736E2C" w:rsidRDefault="00000000" w:rsidP="00736E2C">
      <w:pPr>
        <w:spacing w:after="80"/>
        <w:jc w:val="center"/>
        <w:rPr>
          <w:rFonts w:ascii="Times New Roman" w:eastAsia="Times New Roman" w:hAnsi="Times New Roman"/>
          <w:sz w:val="20"/>
          <w:szCs w:val="20"/>
        </w:rPr>
      </w:pPr>
      <w:proofErr w:type="spellStart"/>
      <w:r w:rsidRPr="00736E2C">
        <w:rPr>
          <w:rFonts w:ascii="Times New Roman" w:eastAsia="Times New Roman" w:hAnsi="Times New Roman"/>
          <w:sz w:val="20"/>
          <w:szCs w:val="20"/>
        </w:rPr>
        <w:t>Witchayda</w:t>
      </w:r>
      <w:proofErr w:type="spellEnd"/>
      <w:r w:rsidRPr="00736E2C">
        <w:rPr>
          <w:rFonts w:ascii="Times New Roman" w:eastAsia="Times New Roman" w:hAnsi="Times New Roman"/>
          <w:sz w:val="20"/>
          <w:szCs w:val="20"/>
        </w:rPr>
        <w:t xml:space="preserve"> </w:t>
      </w:r>
      <w:proofErr w:type="spellStart"/>
      <w:r w:rsidRPr="00736E2C">
        <w:rPr>
          <w:rFonts w:ascii="Times New Roman" w:eastAsia="Times New Roman" w:hAnsi="Times New Roman"/>
          <w:sz w:val="20"/>
          <w:szCs w:val="20"/>
        </w:rPr>
        <w:t>Theppithuk</w:t>
      </w:r>
      <w:proofErr w:type="spellEnd"/>
      <w:r w:rsidRPr="00736E2C">
        <w:rPr>
          <w:rFonts w:ascii="Times New Roman" w:eastAsia="Times New Roman" w:hAnsi="Times New Roman"/>
          <w:sz w:val="20"/>
          <w:szCs w:val="20"/>
        </w:rPr>
        <w:t xml:space="preserve"> (Noey) </w:t>
      </w:r>
      <w:proofErr w:type="gramStart"/>
      <w:r w:rsidRPr="00736E2C">
        <w:rPr>
          <w:rFonts w:ascii="Times New Roman" w:eastAsia="Times New Roman" w:hAnsi="Times New Roman"/>
          <w:sz w:val="20"/>
          <w:szCs w:val="20"/>
        </w:rPr>
        <w:t xml:space="preserve">127419; </w:t>
      </w:r>
      <w:r w:rsidR="00736E2C">
        <w:rPr>
          <w:rFonts w:ascii="Times New Roman" w:eastAsia="Times New Roman" w:hAnsi="Times New Roman"/>
          <w:sz w:val="20"/>
          <w:szCs w:val="20"/>
        </w:rPr>
        <w:t xml:space="preserve"> </w:t>
      </w:r>
      <w:r w:rsidRPr="00736E2C">
        <w:rPr>
          <w:rFonts w:ascii="Times New Roman" w:eastAsia="Times New Roman" w:hAnsi="Times New Roman"/>
          <w:sz w:val="20"/>
          <w:szCs w:val="20"/>
        </w:rPr>
        <w:t>Han</w:t>
      </w:r>
      <w:proofErr w:type="gramEnd"/>
      <w:r w:rsidRPr="00736E2C">
        <w:rPr>
          <w:rFonts w:ascii="Times New Roman" w:eastAsia="Times New Roman" w:hAnsi="Times New Roman"/>
          <w:sz w:val="20"/>
          <w:szCs w:val="20"/>
        </w:rPr>
        <w:t xml:space="preserve"> Htoo Zaw </w:t>
      </w:r>
      <w:proofErr w:type="gramStart"/>
      <w:r w:rsidRPr="00736E2C">
        <w:rPr>
          <w:rFonts w:ascii="Times New Roman" w:eastAsia="Times New Roman" w:hAnsi="Times New Roman"/>
          <w:sz w:val="20"/>
          <w:szCs w:val="20"/>
        </w:rPr>
        <w:t xml:space="preserve">127305; </w:t>
      </w:r>
      <w:r w:rsidR="00736E2C">
        <w:rPr>
          <w:rFonts w:ascii="Times New Roman" w:eastAsia="Times New Roman" w:hAnsi="Times New Roman"/>
          <w:sz w:val="20"/>
          <w:szCs w:val="20"/>
        </w:rPr>
        <w:t xml:space="preserve"> </w:t>
      </w:r>
      <w:r w:rsidRPr="00736E2C">
        <w:rPr>
          <w:rFonts w:ascii="Times New Roman" w:eastAsia="Times New Roman" w:hAnsi="Times New Roman"/>
          <w:sz w:val="20"/>
          <w:szCs w:val="20"/>
        </w:rPr>
        <w:t>Pyae</w:t>
      </w:r>
      <w:proofErr w:type="gramEnd"/>
      <w:r w:rsidRPr="00736E2C">
        <w:rPr>
          <w:rFonts w:ascii="Times New Roman" w:eastAsia="Times New Roman" w:hAnsi="Times New Roman"/>
          <w:sz w:val="20"/>
          <w:szCs w:val="20"/>
        </w:rPr>
        <w:t xml:space="preserve"> Sone Han 127366</w:t>
      </w:r>
      <w:r w:rsidR="00736E2C" w:rsidRPr="00736E2C">
        <w:rPr>
          <w:rFonts w:ascii="Times New Roman" w:eastAsia="Times New Roman" w:hAnsi="Times New Roman"/>
          <w:sz w:val="20"/>
          <w:szCs w:val="20"/>
        </w:rPr>
        <w:t>.</w:t>
      </w:r>
    </w:p>
    <w:p w14:paraId="2DAA0DBA"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1. Introduction, Aim and Research Questions</w:t>
      </w:r>
    </w:p>
    <w:p w14:paraId="6FDD76AD"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institutional data and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w:t>
      </w:r>
      <w:r w:rsidRPr="00B8692A">
        <w:rPr>
          <w:rFonts w:ascii="Times New Roman" w:eastAsia="Times New Roman" w:hAnsi="Times New Roman"/>
          <w:b/>
          <w:bCs/>
          <w:sz w:val="20"/>
          <w:szCs w:val="20"/>
        </w:rPr>
        <w:t>RQ1:</w:t>
      </w:r>
      <w:r w:rsidRPr="00B8692A">
        <w:rPr>
          <w:rFonts w:ascii="Times New Roman" w:eastAsia="Times New Roman" w:hAnsi="Times New Roman"/>
          <w:sz w:val="20"/>
          <w:szCs w:val="20"/>
        </w:rPr>
        <w:t xml:space="preserve"> does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add predictive value over simpler baselines; </w:t>
      </w:r>
      <w:r w:rsidRPr="00B8692A">
        <w:rPr>
          <w:rFonts w:ascii="Times New Roman" w:eastAsia="Times New Roman" w:hAnsi="Times New Roman"/>
          <w:b/>
          <w:bCs/>
          <w:sz w:val="20"/>
          <w:szCs w:val="20"/>
        </w:rPr>
        <w:t>RQ2:</w:t>
      </w:r>
      <w:r w:rsidRPr="00B8692A">
        <w:rPr>
          <w:rFonts w:ascii="Times New Roman" w:eastAsia="Times New Roman" w:hAnsi="Times New Roman"/>
          <w:sz w:val="20"/>
          <w:szCs w:val="20"/>
        </w:rPr>
        <w:t xml:space="preserve"> are its local explanations faithful and stable; </w:t>
      </w:r>
      <w:r w:rsidRPr="00B8692A">
        <w:rPr>
          <w:rFonts w:ascii="Times New Roman" w:eastAsia="Times New Roman" w:hAnsi="Times New Roman"/>
          <w:b/>
          <w:bCs/>
          <w:sz w:val="20"/>
          <w:szCs w:val="20"/>
        </w:rPr>
        <w:t>RQ3:</w:t>
      </w:r>
      <w:r w:rsidRPr="00B8692A">
        <w:rPr>
          <w:rFonts w:ascii="Times New Roman" w:eastAsia="Times New Roman" w:hAnsi="Times New Roman"/>
          <w:sz w:val="20"/>
          <w:szCs w:val="20"/>
        </w:rPr>
        <w:t xml:space="preserve"> do they help users anticipate model outputs and identify feasible support actions?</w:t>
      </w:r>
    </w:p>
    <w:p w14:paraId="1E1ED072" w14:textId="33EBA95E" w:rsidR="00E4592D" w:rsidRPr="00B8692A" w:rsidRDefault="00000000">
      <w:pPr>
        <w:jc w:val="both"/>
        <w:rPr>
          <w:sz w:val="20"/>
          <w:szCs w:val="20"/>
        </w:rPr>
      </w:pPr>
      <w:sdt>
        <w:sdtPr>
          <w:rPr>
            <w:sz w:val="20"/>
            <w:szCs w:val="20"/>
          </w:rPr>
          <w:tag w:val="goog_rdk_0"/>
          <w:id w:val="60917386"/>
          <w:showingPlcHdr/>
        </w:sdtPr>
        <w:sdtContent>
          <w:r w:rsidR="00736E2C" w:rsidRPr="00B8692A">
            <w:rPr>
              <w:sz w:val="20"/>
              <w:szCs w:val="20"/>
            </w:rPr>
            <w:t xml:space="preserve">     </w:t>
          </w:r>
        </w:sdtContent>
      </w:sdt>
      <w:r w:rsidRPr="00B8692A">
        <w:rPr>
          <w:rFonts w:ascii="Times New Roman" w:eastAsia="Times New Roman" w:hAnsi="Times New Roman"/>
          <w:sz w:val="20"/>
          <w:szCs w:val="20"/>
        </w:rPr>
        <w:t xml:space="preserve">All predictive modelling and explanation evaluation will use one openly licensed UCI dataset. Short, consented written responses from the human evaluation will form the unstructured component and will remain linked to the study cases. </w:t>
      </w:r>
    </w:p>
    <w:p w14:paraId="1F2F7A29"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2. Decision Context and Intended User</w:t>
      </w:r>
    </w:p>
    <w:p w14:paraId="7B6E3B13"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The explanation will be designed for a university student-support officer reviewing currently enrolled first-year students immediately after first-semester results are </w:t>
      </w:r>
      <w:proofErr w:type="spellStart"/>
      <w:r w:rsidRPr="00B8692A">
        <w:rPr>
          <w:rFonts w:ascii="Times New Roman" w:eastAsia="Times New Roman" w:hAnsi="Times New Roman"/>
          <w:sz w:val="20"/>
          <w:szCs w:val="20"/>
        </w:rPr>
        <w:t>finalised</w:t>
      </w:r>
      <w:proofErr w:type="spellEnd"/>
      <w:r w:rsidRPr="00B8692A">
        <w:rPr>
          <w:rFonts w:ascii="Times New Roman" w:eastAsia="Times New Roman" w:hAnsi="Times New Roman"/>
          <w:sz w:val="20"/>
          <w:szCs w:val="20"/>
        </w:rPr>
        <w:t xml:space="preserve"> and before second-semester support decisions. For a student flagged as high risk, the officer will decide whether to </w:t>
      </w:r>
      <w:proofErr w:type="spellStart"/>
      <w:r w:rsidRPr="00B8692A">
        <w:rPr>
          <w:rFonts w:ascii="Times New Roman" w:eastAsia="Times New Roman" w:hAnsi="Times New Roman"/>
          <w:sz w:val="20"/>
          <w:szCs w:val="20"/>
        </w:rPr>
        <w:t>prioritise</w:t>
      </w:r>
      <w:proofErr w:type="spellEnd"/>
      <w:r w:rsidRPr="00B8692A">
        <w:rPr>
          <w:rFonts w:ascii="Times New Roman" w:eastAsia="Times New Roman" w:hAnsi="Times New Roman"/>
          <w:sz w:val="20"/>
          <w:szCs w:val="20"/>
        </w:rPr>
        <w:t xml:space="preserv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14:paraId="4EDD5358"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3. Data Sources</w:t>
      </w:r>
    </w:p>
    <w:p w14:paraId="1BD33229" w14:textId="3AE8EDEC" w:rsidR="00E4592D" w:rsidRPr="00B8692A" w:rsidRDefault="00000000">
      <w:pPr>
        <w:jc w:val="both"/>
        <w:rPr>
          <w:sz w:val="20"/>
          <w:szCs w:val="20"/>
        </w:rPr>
      </w:pPr>
      <w:r w:rsidRPr="00B8692A">
        <w:rPr>
          <w:rFonts w:ascii="Times New Roman" w:eastAsia="Times New Roman" w:hAnsi="Times New Roman"/>
          <w:b/>
          <w:bCs/>
          <w:sz w:val="20"/>
          <w:szCs w:val="20"/>
        </w:rPr>
        <w:t>Primary modelling data.</w:t>
      </w:r>
      <w:r w:rsidRPr="00B8692A">
        <w:rPr>
          <w:rFonts w:ascii="Times New Roman" w:eastAsia="Times New Roman" w:hAnsi="Times New Roman"/>
          <w:sz w:val="20"/>
          <w:szCs w:val="20"/>
        </w:rPr>
        <w:t xml:space="preserve"> ‘Predict Students’ Dropout and Academic Success’ (</w:t>
      </w:r>
      <w:proofErr w:type="spellStart"/>
      <w:r w:rsidRPr="00B8692A">
        <w:rPr>
          <w:rFonts w:ascii="Times New Roman" w:eastAsia="Times New Roman" w:hAnsi="Times New Roman"/>
          <w:sz w:val="20"/>
          <w:szCs w:val="20"/>
        </w:rPr>
        <w:t>Realinho</w:t>
      </w:r>
      <w:proofErr w:type="spellEnd"/>
      <w:r w:rsidRPr="00B8692A">
        <w:rPr>
          <w:rFonts w:ascii="Times New Roman" w:eastAsia="Times New Roman" w:hAnsi="Times New Roman"/>
          <w:sz w:val="20"/>
          <w:szCs w:val="20"/>
        </w:rPr>
        <w:t>, Vieira Martins, Machado, &amp; Baptista, 2021), UCI Machine Learning Repository dataset 697, is distributed under CC BY 4.0 and documented in a peer-reviewed data paper (</w:t>
      </w:r>
      <w:proofErr w:type="spellStart"/>
      <w:r w:rsidRPr="00B8692A">
        <w:rPr>
          <w:rFonts w:ascii="Times New Roman" w:eastAsia="Times New Roman" w:hAnsi="Times New Roman"/>
          <w:sz w:val="20"/>
          <w:szCs w:val="20"/>
        </w:rPr>
        <w:t>Realinho</w:t>
      </w:r>
      <w:proofErr w:type="spellEnd"/>
      <w:r w:rsidRPr="00B8692A">
        <w:rPr>
          <w:rFonts w:ascii="Times New Roman" w:eastAsia="Times New Roman" w:hAnsi="Times New Roman"/>
          <w:sz w:val="20"/>
          <w:szCs w:val="20"/>
        </w:rPr>
        <w:t xml:space="preserve"> et al., 2022). It contains 4,424 student records and 36 predictors spanning demographic, socio-economic, admission, administrative, academic and macroeconomic information, with labels Dropout, Enrolled and Graduate. </w:t>
      </w:r>
    </w:p>
    <w:p w14:paraId="1038048C" w14:textId="301AA300" w:rsidR="00E4592D" w:rsidRPr="00B8692A" w:rsidRDefault="00000000" w:rsidP="00B8692A">
      <w:pPr>
        <w:jc w:val="both"/>
        <w:rPr>
          <w:rFonts w:ascii="Times New Roman" w:eastAsia="Times New Roman" w:hAnsi="Times New Roman"/>
          <w:sz w:val="20"/>
          <w:szCs w:val="20"/>
        </w:rPr>
      </w:pPr>
      <w:r w:rsidRPr="00B8692A">
        <w:rPr>
          <w:rFonts w:ascii="Times New Roman" w:eastAsia="Times New Roman" w:hAnsi="Times New Roman"/>
          <w:b/>
          <w:bCs/>
          <w:sz w:val="20"/>
          <w:szCs w:val="20"/>
        </w:rPr>
        <w:t>Prospective qualitative data.</w:t>
      </w:r>
      <w:r w:rsidRPr="00B8692A">
        <w:rPr>
          <w:rFonts w:ascii="Times New Roman" w:eastAsia="Times New Roman" w:hAnsi="Times New Roman"/>
          <w:sz w:val="20"/>
          <w:szCs w:val="20"/>
        </w:rPr>
        <w:t xml:space="preserve"> </w:t>
      </w:r>
      <w:r w:rsidR="00B8692A" w:rsidRPr="00B8692A">
        <w:rPr>
          <w:rFonts w:ascii="Times New Roman" w:eastAsia="Times New Roman" w:hAnsi="Times New Roman"/>
          <w:sz w:val="20"/>
          <w:szCs w:val="20"/>
        </w:rPr>
        <w:t xml:space="preserve">A voluntary convenience sample of eligible adult participants, primarily from the AIT community and supplemented by external volunteers where permitted and feasible, will provide brief </w:t>
      </w:r>
      <w:proofErr w:type="gramStart"/>
      <w:r w:rsidR="00B8692A" w:rsidRPr="00B8692A">
        <w:rPr>
          <w:rFonts w:ascii="Times New Roman" w:eastAsia="Times New Roman" w:hAnsi="Times New Roman"/>
          <w:sz w:val="20"/>
          <w:szCs w:val="20"/>
        </w:rPr>
        <w:t>written  rationales</w:t>
      </w:r>
      <w:proofErr w:type="gramEnd"/>
      <w:r w:rsidR="00B8692A" w:rsidRPr="00B8692A">
        <w:rPr>
          <w:rFonts w:ascii="Times New Roman" w:eastAsia="Times New Roman" w:hAnsi="Times New Roman"/>
          <w:sz w:val="20"/>
          <w:szCs w:val="20"/>
        </w:rPr>
        <w:t xml:space="preserve">, suggested support actions and comments on missing information while evaluating </w:t>
      </w:r>
      <w:proofErr w:type="spellStart"/>
      <w:r w:rsidR="00B8692A" w:rsidRPr="00B8692A">
        <w:rPr>
          <w:rFonts w:ascii="Times New Roman" w:eastAsia="Times New Roman" w:hAnsi="Times New Roman"/>
          <w:sz w:val="20"/>
          <w:szCs w:val="20"/>
        </w:rPr>
        <w:t>pseudonymised</w:t>
      </w:r>
      <w:proofErr w:type="spellEnd"/>
      <w:r w:rsidR="00B8692A" w:rsidRPr="00B8692A">
        <w:rPr>
          <w:rFonts w:ascii="Times New Roman" w:eastAsia="Times New Roman" w:hAnsi="Times New Roman"/>
          <w:sz w:val="20"/>
          <w:szCs w:val="20"/>
        </w:rPr>
        <w:t xml:space="preserve"> UCI cases. Participant source and role will be recorded so that any differences in the sample can be reported </w:t>
      </w:r>
      <w:proofErr w:type="spellStart"/>
      <w:proofErr w:type="gramStart"/>
      <w:r w:rsidR="00B8692A" w:rsidRPr="00B8692A">
        <w:rPr>
          <w:rFonts w:ascii="Times New Roman" w:eastAsia="Times New Roman" w:hAnsi="Times New Roman"/>
          <w:sz w:val="20"/>
          <w:szCs w:val="20"/>
        </w:rPr>
        <w:t>transparently.</w:t>
      </w:r>
      <w:r w:rsidRPr="00B8692A">
        <w:rPr>
          <w:rFonts w:ascii="Times New Roman" w:eastAsia="Times New Roman" w:hAnsi="Times New Roman"/>
          <w:sz w:val="20"/>
          <w:szCs w:val="20"/>
        </w:rPr>
        <w:t>These</w:t>
      </w:r>
      <w:proofErr w:type="spellEnd"/>
      <w:proofErr w:type="gramEnd"/>
      <w:r w:rsidRPr="00B8692A">
        <w:rPr>
          <w:rFonts w:ascii="Times New Roman" w:eastAsia="Times New Roman" w:hAnsi="Times New Roman"/>
          <w:sz w:val="20"/>
          <w:szCs w:val="20"/>
        </w:rPr>
        <w:t xml:space="preserve"> consented, </w:t>
      </w:r>
      <w:proofErr w:type="spellStart"/>
      <w:r w:rsidRPr="00B8692A">
        <w:rPr>
          <w:rFonts w:ascii="Times New Roman" w:eastAsia="Times New Roman" w:hAnsi="Times New Roman"/>
          <w:sz w:val="20"/>
          <w:szCs w:val="20"/>
        </w:rPr>
        <w:t>anonymised</w:t>
      </w:r>
      <w:proofErr w:type="spellEnd"/>
      <w:r w:rsidRPr="00B8692A">
        <w:rPr>
          <w:rFonts w:ascii="Times New Roman" w:eastAsia="Times New Roman" w:hAnsi="Times New Roman"/>
          <w:sz w:val="20"/>
          <w:szCs w:val="20"/>
        </w:rPr>
        <w:t xml:space="preserve"> responses will form the project's unstructured dataset, will remain linked only to study case IDs, and will be </w:t>
      </w:r>
      <w:proofErr w:type="spellStart"/>
      <w:r w:rsidRPr="00B8692A">
        <w:rPr>
          <w:rFonts w:ascii="Times New Roman" w:eastAsia="Times New Roman" w:hAnsi="Times New Roman"/>
          <w:sz w:val="20"/>
          <w:szCs w:val="20"/>
        </w:rPr>
        <w:t>analysed</w:t>
      </w:r>
      <w:proofErr w:type="spellEnd"/>
      <w:r w:rsidRPr="00B8692A">
        <w:rPr>
          <w:rFonts w:ascii="Times New Roman" w:eastAsia="Times New Roman" w:hAnsi="Times New Roman"/>
          <w:sz w:val="20"/>
          <w:szCs w:val="20"/>
        </w:rPr>
        <w:t xml:space="preserve"> qualitatively for comprehension, actionability and information gaps. No student records will be collected, and responses will not enter the dropout model or be presented as explanations of real outcomes.</w:t>
      </w:r>
    </w:p>
    <w:p w14:paraId="5013246F"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t>4. Prediction Task and Study Design</w:t>
      </w:r>
    </w:p>
    <w:p w14:paraId="09698B4C" w14:textId="77777777" w:rsidR="00E4592D" w:rsidRPr="00B8692A" w:rsidRDefault="00000000">
      <w:pPr>
        <w:jc w:val="both"/>
        <w:rPr>
          <w:rFonts w:ascii="Times New Roman" w:eastAsia="Times New Roman" w:hAnsi="Times New Roman"/>
          <w:sz w:val="20"/>
          <w:szCs w:val="20"/>
        </w:rPr>
      </w:pPr>
      <w:r w:rsidRPr="00B8692A">
        <w:rPr>
          <w:rFonts w:ascii="Times New Roman" w:eastAsia="Times New Roman" w:hAnsi="Times New Roman"/>
          <w:sz w:val="20"/>
          <w:szCs w:val="2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14:paraId="1263D586" w14:textId="77777777" w:rsidR="00EF1225" w:rsidRPr="00B8692A" w:rsidRDefault="00EF1225">
      <w:pPr>
        <w:jc w:val="both"/>
        <w:rPr>
          <w:sz w:val="20"/>
          <w:szCs w:val="20"/>
        </w:rPr>
      </w:pPr>
    </w:p>
    <w:p w14:paraId="31119556" w14:textId="77777777" w:rsidR="00E4592D" w:rsidRPr="00B8692A" w:rsidRDefault="00000000">
      <w:pPr>
        <w:jc w:val="both"/>
        <w:rPr>
          <w:sz w:val="20"/>
          <w:szCs w:val="20"/>
        </w:rPr>
      </w:pPr>
      <w:r w:rsidRPr="00B8692A">
        <w:rPr>
          <w:rFonts w:ascii="Times New Roman" w:eastAsia="Times New Roman" w:hAnsi="Times New Roman"/>
          <w:sz w:val="20"/>
          <w:szCs w:val="20"/>
        </w:rPr>
        <w:t>The prediction time will be immediately after first-semester results. Only variables available by then will enter the model: enrolment/admission records, demographic and socio-economic fields, administrative status, macroeconomic indicators, and first-semester outcomes. Second-semester curricular variables will be excluded as temporal leakage. First-semester grades and approved units are predictive but already historical, so they will be treated as immutable in counterfactual recourse.</w:t>
      </w:r>
    </w:p>
    <w:p w14:paraId="0A9ADCF6" w14:textId="77777777" w:rsidR="00E4592D" w:rsidRPr="00736E2C" w:rsidRDefault="00000000">
      <w:pPr>
        <w:pStyle w:val="Heading1"/>
        <w:spacing w:before="240" w:after="80"/>
        <w:rPr>
          <w:color w:val="auto"/>
        </w:rPr>
      </w:pPr>
      <w:r w:rsidRPr="00736E2C">
        <w:rPr>
          <w:rFonts w:ascii="Times New Roman" w:eastAsia="Times New Roman" w:hAnsi="Times New Roman"/>
          <w:color w:val="auto"/>
          <w:sz w:val="22"/>
        </w:rPr>
        <w:lastRenderedPageBreak/>
        <w:t>5. Proposed Methodology</w:t>
      </w:r>
    </w:p>
    <w:p w14:paraId="721B7F3D"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5.1  Predictive</w:t>
      </w:r>
      <w:proofErr w:type="gramEnd"/>
      <w:r w:rsidRPr="00736E2C">
        <w:rPr>
          <w:rFonts w:ascii="Times New Roman" w:eastAsia="Times New Roman" w:hAnsi="Times New Roman"/>
          <w:color w:val="auto"/>
          <w:sz w:val="22"/>
          <w:szCs w:val="24"/>
        </w:rPr>
        <w:t xml:space="preserve"> Modelling and Evaluation</w:t>
      </w:r>
    </w:p>
    <w:p w14:paraId="7A3FDFF8" w14:textId="28475AA3" w:rsidR="00EF1225" w:rsidRPr="00B8692A" w:rsidRDefault="00EF1225" w:rsidP="00B8692A">
      <w:pPr>
        <w:pStyle w:val="Heading2"/>
        <w:spacing w:before="160" w:after="40"/>
        <w:rPr>
          <w:rFonts w:ascii="Times New Roman" w:eastAsia="Times New Roman" w:hAnsi="Times New Roman"/>
          <w:b w:val="0"/>
          <w:bCs w:val="0"/>
          <w:color w:val="auto"/>
          <w:sz w:val="20"/>
          <w:szCs w:val="20"/>
        </w:rPr>
      </w:pPr>
      <w:r w:rsidRPr="00B8692A">
        <w:rPr>
          <w:rFonts w:ascii="Times New Roman" w:eastAsia="Times New Roman" w:hAnsi="Times New Roman"/>
          <w:b w:val="0"/>
          <w:bCs w:val="0"/>
          <w:color w:val="auto"/>
          <w:sz w:val="20"/>
          <w:szCs w:val="20"/>
        </w:rPr>
        <w:t xml:space="preserve">A fixed, stratified 70/15/15 train/validation/test split will support identical model comparisons. Before any test access, protocol 1.2 froze the split, seed, target, feature </w:t>
      </w:r>
      <w:proofErr w:type="spellStart"/>
      <w:proofErr w:type="gramStart"/>
      <w:r w:rsidRPr="00B8692A">
        <w:rPr>
          <w:rFonts w:ascii="Times New Roman" w:eastAsia="Times New Roman" w:hAnsi="Times New Roman"/>
          <w:b w:val="0"/>
          <w:bCs w:val="0"/>
          <w:color w:val="auto"/>
          <w:sz w:val="20"/>
          <w:szCs w:val="20"/>
        </w:rPr>
        <w:t>windows,capacity</w:t>
      </w:r>
      <w:proofErr w:type="spellEnd"/>
      <w:proofErr w:type="gramEnd"/>
      <w:r w:rsidRPr="00B8692A">
        <w:rPr>
          <w:rFonts w:ascii="Times New Roman" w:eastAsia="Times New Roman" w:hAnsi="Times New Roman"/>
          <w:b w:val="0"/>
          <w:bCs w:val="0"/>
          <w:color w:val="auto"/>
          <w:sz w:val="20"/>
          <w:szCs w:val="20"/>
        </w:rPr>
        <w:t xml:space="preserve"> policy and evaluation rules. </w:t>
      </w:r>
      <w:proofErr w:type="spellStart"/>
      <w:r w:rsidRPr="00B8692A">
        <w:rPr>
          <w:rFonts w:ascii="Times New Roman" w:eastAsia="Times New Roman" w:hAnsi="Times New Roman"/>
          <w:b w:val="0"/>
          <w:bCs w:val="0"/>
          <w:color w:val="auto"/>
          <w:sz w:val="20"/>
          <w:szCs w:val="20"/>
        </w:rPr>
        <w:t>TabICL</w:t>
      </w:r>
      <w:proofErr w:type="spellEnd"/>
      <w:r w:rsidRPr="00B8692A">
        <w:rPr>
          <w:rFonts w:ascii="Times New Roman" w:eastAsia="Times New Roman" w:hAnsi="Times New Roman"/>
          <w:b w:val="0"/>
          <w:bCs w:val="0"/>
          <w:color w:val="auto"/>
          <w:sz w:val="20"/>
          <w:szCs w:val="20"/>
        </w:rPr>
        <w:t xml:space="preserve"> will be compared with logistic regression, a depth-3 decision tree, </w:t>
      </w:r>
      <w:proofErr w:type="spellStart"/>
      <w:r w:rsidRPr="00B8692A">
        <w:rPr>
          <w:rFonts w:ascii="Times New Roman" w:eastAsia="Times New Roman" w:hAnsi="Times New Roman"/>
          <w:b w:val="0"/>
          <w:bCs w:val="0"/>
          <w:color w:val="auto"/>
          <w:sz w:val="20"/>
          <w:szCs w:val="20"/>
        </w:rPr>
        <w:t>XGBoost</w:t>
      </w:r>
      <w:proofErr w:type="spellEnd"/>
      <w:r w:rsidRPr="00B8692A">
        <w:rPr>
          <w:rFonts w:ascii="Times New Roman" w:eastAsia="Times New Roman" w:hAnsi="Times New Roman"/>
          <w:b w:val="0"/>
          <w:bCs w:val="0"/>
          <w:color w:val="auto"/>
          <w:sz w:val="20"/>
          <w:szCs w:val="20"/>
        </w:rPr>
        <w:t xml:space="preserve"> and a main-effects Explainable Boosting Machine (EBM). Preliminary validation-only results established feasibility: </w:t>
      </w:r>
      <w:proofErr w:type="spellStart"/>
      <w:r w:rsidRPr="00B8692A">
        <w:rPr>
          <w:rFonts w:ascii="Times New Roman" w:eastAsia="Times New Roman" w:hAnsi="Times New Roman"/>
          <w:b w:val="0"/>
          <w:bCs w:val="0"/>
          <w:color w:val="auto"/>
          <w:sz w:val="20"/>
          <w:szCs w:val="20"/>
        </w:rPr>
        <w:t>TabICL</w:t>
      </w:r>
      <w:proofErr w:type="spellEnd"/>
      <w:r w:rsidRPr="00B8692A">
        <w:rPr>
          <w:rFonts w:ascii="Times New Roman" w:eastAsia="Times New Roman" w:hAnsi="Times New Roman"/>
          <w:b w:val="0"/>
          <w:bCs w:val="0"/>
          <w:color w:val="auto"/>
          <w:sz w:val="20"/>
          <w:szCs w:val="20"/>
        </w:rPr>
        <w:t xml:space="preserve"> achieved ROC-AUC 0.952 and EBM 0.946, while the other baselines ranged from 0.923 to 0.945. This small validation difference does not establish </w:t>
      </w:r>
      <w:proofErr w:type="spellStart"/>
      <w:r w:rsidRPr="00B8692A">
        <w:rPr>
          <w:rFonts w:ascii="Times New Roman" w:eastAsia="Times New Roman" w:hAnsi="Times New Roman"/>
          <w:b w:val="0"/>
          <w:bCs w:val="0"/>
          <w:color w:val="auto"/>
          <w:sz w:val="20"/>
          <w:szCs w:val="20"/>
        </w:rPr>
        <w:t>TabICL’s</w:t>
      </w:r>
      <w:proofErr w:type="spellEnd"/>
      <w:r w:rsidRPr="00B8692A">
        <w:rPr>
          <w:rFonts w:ascii="Times New Roman" w:eastAsia="Times New Roman" w:hAnsi="Times New Roman"/>
          <w:b w:val="0"/>
          <w:bCs w:val="0"/>
          <w:color w:val="auto"/>
          <w:sz w:val="20"/>
          <w:szCs w:val="20"/>
        </w:rPr>
        <w:t xml:space="preserve"> superiority and strengthens the case for comparing black-box and intrinsically interpretable models. The decision policy will rank each cohort and flag the top 20% using stable tie-breaking rather than a universal probability threshold. After all model and explanation choices are frozen, one final same-test-set evaluation will report discrimination, capacity-based recall and precision, calibration, runtime and paired 2,000-resample bootstrap intervals for model differences.</w:t>
      </w:r>
      <w:r w:rsidR="00B8692A" w:rsidRPr="00B8692A">
        <w:rPr>
          <w:rFonts w:ascii="Times New Roman" w:eastAsia="Times New Roman" w:hAnsi="Times New Roman"/>
          <w:b w:val="0"/>
          <w:bCs w:val="0"/>
          <w:color w:val="auto"/>
          <w:sz w:val="20"/>
          <w:szCs w:val="20"/>
        </w:rPr>
        <w:t xml:space="preserve"> The 20% capacity will remain the pre-specified primary operating point. If time permits, supplementary analysis may examine alternative plausible capacity levels without changing the primary evaluation.</w:t>
      </w:r>
    </w:p>
    <w:p w14:paraId="5E8A471E" w14:textId="6E923674"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5.2  Explanation</w:t>
      </w:r>
      <w:proofErr w:type="gramEnd"/>
      <w:r w:rsidRPr="00736E2C">
        <w:rPr>
          <w:rFonts w:ascii="Times New Roman" w:eastAsia="Times New Roman" w:hAnsi="Times New Roman"/>
          <w:color w:val="auto"/>
          <w:sz w:val="22"/>
          <w:szCs w:val="24"/>
        </w:rPr>
        <w:t xml:space="preserve"> Method and Faithfulness Evaluation</w:t>
      </w:r>
    </w:p>
    <w:p w14:paraId="79D7320C" w14:textId="304FE736" w:rsidR="00E4592D" w:rsidRPr="00B8692A" w:rsidRDefault="00000000" w:rsidP="00E907C0">
      <w:pPr>
        <w:jc w:val="both"/>
        <w:rPr>
          <w:rFonts w:ascii="Times New Roman" w:eastAsia="Times New Roman" w:hAnsi="Times New Roman"/>
          <w:sz w:val="20"/>
          <w:szCs w:val="20"/>
        </w:rPr>
      </w:pPr>
      <w:r w:rsidRPr="00B8692A">
        <w:rPr>
          <w:rFonts w:ascii="Times New Roman" w:eastAsia="Times New Roman" w:hAnsi="Times New Roman"/>
          <w:sz w:val="20"/>
          <w:szCs w:val="20"/>
        </w:rPr>
        <w:t xml:space="preserve">As a TFM is not a tree ensemble, </w:t>
      </w:r>
      <w:proofErr w:type="spellStart"/>
      <w:r w:rsidRPr="00B8692A">
        <w:rPr>
          <w:rFonts w:ascii="Times New Roman" w:eastAsia="Times New Roman" w:hAnsi="Times New Roman"/>
          <w:sz w:val="20"/>
          <w:szCs w:val="20"/>
        </w:rPr>
        <w:t>TreeSHAP</w:t>
      </w:r>
      <w:proofErr w:type="spellEnd"/>
      <w:r w:rsidRPr="00B8692A">
        <w:rPr>
          <w:rFonts w:ascii="Times New Roman" w:eastAsia="Times New Roman" w:hAnsi="Times New Roman"/>
          <w:sz w:val="20"/>
          <w:szCs w:val="20"/>
        </w:rPr>
        <w:t xml:space="preserve"> exactness will not be claimed. Model-agnostic permutation SHAP (Lundberg &amp; Lee, 2017) will explain dropout probability </w:t>
      </w:r>
      <w:r w:rsidR="00E907C0" w:rsidRPr="00B8692A">
        <w:rPr>
          <w:rFonts w:ascii="Times New Roman" w:eastAsia="Times New Roman" w:hAnsi="Times New Roman"/>
          <w:sz w:val="20"/>
          <w:szCs w:val="20"/>
        </w:rPr>
        <w:t xml:space="preserve">using a training-only background and a feature-count-derived permutation budget. </w:t>
      </w:r>
      <w:r w:rsidRPr="00B8692A">
        <w:rPr>
          <w:rFonts w:ascii="Times New Roman" w:eastAsia="Times New Roman" w:hAnsi="Times New Roman"/>
          <w:sz w:val="20"/>
          <w:szCs w:val="20"/>
        </w:rPr>
        <w:t xml:space="preserve">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reliance, not intervention. Validation checks reconstructed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probabilities within 4.1e-8 and recovered known white-box attribution ranks with Spearman 1.0. Grouped permutation importance will supply global reliance, while ALE will examine three validation-selected numerical effects with less off-manifold risk than PDP under correlation.</w:t>
      </w:r>
    </w:p>
    <w:p w14:paraId="4FA7E2A1"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5.3  Explanation</w:t>
      </w:r>
      <w:proofErr w:type="gramEnd"/>
      <w:r w:rsidRPr="00736E2C">
        <w:rPr>
          <w:rFonts w:ascii="Times New Roman" w:eastAsia="Times New Roman" w:hAnsi="Times New Roman"/>
          <w:color w:val="auto"/>
          <w:sz w:val="22"/>
          <w:szCs w:val="24"/>
        </w:rPr>
        <w:t xml:space="preserve"> Stability Evaluation</w:t>
      </w:r>
    </w:p>
    <w:p w14:paraId="76AE2675" w14:textId="77777777" w:rsidR="00E4592D" w:rsidRPr="00B8692A" w:rsidRDefault="00000000">
      <w:pPr>
        <w:jc w:val="both"/>
        <w:rPr>
          <w:sz w:val="20"/>
          <w:szCs w:val="20"/>
        </w:rPr>
      </w:pPr>
      <w:r w:rsidRPr="00B8692A">
        <w:rPr>
          <w:rFonts w:ascii="Times New Roman" w:eastAsia="Times New Roman" w:hAnsi="Times New Roman"/>
          <w:sz w:val="20"/>
          <w:szCs w:val="20"/>
        </w:rPr>
        <w:t>The stability evaluation will deterministically select four cases from each of five predicted-risk strata (20 total) without labels.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w:t>
      </w:r>
      <w:proofErr w:type="spellStart"/>
      <w:r w:rsidRPr="00B8692A">
        <w:rPr>
          <w:rFonts w:ascii="Times New Roman" w:eastAsia="Times New Roman" w:hAnsi="Times New Roman"/>
          <w:sz w:val="20"/>
          <w:szCs w:val="20"/>
        </w:rPr>
        <w:t>Tiukhova</w:t>
      </w:r>
      <w:proofErr w:type="spellEnd"/>
      <w:r w:rsidRPr="00B8692A">
        <w:rPr>
          <w:rFonts w:ascii="Times New Roman" w:eastAsia="Times New Roman" w:hAnsi="Times New Roman"/>
          <w:sz w:val="20"/>
          <w:szCs w:val="20"/>
        </w:rPr>
        <w:t xml:space="preserve"> et al., 2024).</w:t>
      </w:r>
    </w:p>
    <w:p w14:paraId="12064CE5"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5.4  Human</w:t>
      </w:r>
      <w:proofErr w:type="gramEnd"/>
      <w:r w:rsidRPr="00736E2C">
        <w:rPr>
          <w:rFonts w:ascii="Times New Roman" w:eastAsia="Times New Roman" w:hAnsi="Times New Roman"/>
          <w:color w:val="auto"/>
          <w:sz w:val="22"/>
          <w:szCs w:val="24"/>
        </w:rPr>
        <w:t xml:space="preserve"> Evaluation</w:t>
      </w:r>
    </w:p>
    <w:p w14:paraId="16C0A05F" w14:textId="16AFC1A7" w:rsidR="00E4592D" w:rsidRPr="00B8692A" w:rsidRDefault="00000000">
      <w:pPr>
        <w:jc w:val="both"/>
        <w:rPr>
          <w:sz w:val="20"/>
          <w:szCs w:val="20"/>
        </w:rPr>
      </w:pPr>
      <w:r w:rsidRPr="00B8692A">
        <w:rPr>
          <w:rFonts w:ascii="Times New Roman" w:eastAsia="Times New Roman" w:hAnsi="Times New Roman"/>
          <w:sz w:val="20"/>
          <w:szCs w:val="20"/>
        </w:rPr>
        <w:t>Following forward-simulation evaluation (Hase &amp; Bansal, 2020), the human study will aim to recruit 8–10 voluntary AIT participants</w:t>
      </w:r>
      <w:r w:rsidR="00B8692A" w:rsidRPr="00B8692A">
        <w:rPr>
          <w:rFonts w:ascii="Times New Roman" w:eastAsia="Times New Roman" w:hAnsi="Times New Roman"/>
          <w:sz w:val="20"/>
          <w:szCs w:val="20"/>
        </w:rPr>
        <w:t xml:space="preserve">. </w:t>
      </w:r>
      <w:r w:rsidRPr="00B8692A">
        <w:rPr>
          <w:rFonts w:ascii="Times New Roman" w:eastAsia="Times New Roman" w:hAnsi="Times New Roman"/>
          <w:sz w:val="20"/>
          <w:szCs w:val="20"/>
        </w:rPr>
        <w:t xml:space="preserve">At least four participants will be required, and the achieved sample will be allocated as evenly as practicable between groups using seeded assignment. After </w:t>
      </w:r>
      <w:proofErr w:type="spellStart"/>
      <w:r w:rsidRPr="00B8692A">
        <w:rPr>
          <w:rFonts w:ascii="Times New Roman" w:eastAsia="Times New Roman" w:hAnsi="Times New Roman"/>
          <w:sz w:val="20"/>
          <w:szCs w:val="20"/>
        </w:rPr>
        <w:t>standardised</w:t>
      </w:r>
      <w:proofErr w:type="spellEnd"/>
      <w:r w:rsidRPr="00B8692A">
        <w:rPr>
          <w:rFonts w:ascii="Times New Roman" w:eastAsia="Times New Roman" w:hAnsi="Times New Roman"/>
          <w:sz w:val="20"/>
          <w:szCs w:val="20"/>
        </w:rPr>
        <w:t xml:space="preserve">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 Participant-level accuracy will be primary; group accuracy and time will be compared descriptively alongside illustrative paraphrased comments and coded responses (Section 5.7). Recruitment shortfalls and unequal group sizes will be reported transparently. Unless support professionals participate, the study will test proxy-user comprehensibility, not professional effectiveness, and will make no significance claim.</w:t>
      </w:r>
    </w:p>
    <w:p w14:paraId="76D5124F"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5.5  Actionability</w:t>
      </w:r>
      <w:proofErr w:type="gramEnd"/>
      <w:r w:rsidRPr="00736E2C">
        <w:rPr>
          <w:rFonts w:ascii="Times New Roman" w:eastAsia="Times New Roman" w:hAnsi="Times New Roman"/>
          <w:color w:val="auto"/>
          <w:sz w:val="22"/>
          <w:szCs w:val="24"/>
        </w:rPr>
        <w:t xml:space="preserve"> and Counterfactual Analysis</w:t>
      </w:r>
    </w:p>
    <w:p w14:paraId="672C4A92"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Before modelling, features will be classified by temporal availability and feasibility. Age, nationality, prior qualifications and completed first-semester outcomes will remain fixed. Potentially resolvable tuition or debt conditions may change only when realistic at the decision point, distinguishing institutional support from student-controlled action. For a flagged case, the search will find the smallest feasible change that moves it outside the cohort's top-20% set after recomputing its rank while all other scores stay fixed; no universal threshold will be assumed, and no-recourse cases will be explicit. These outputs will describe model </w:t>
      </w:r>
      <w:proofErr w:type="spellStart"/>
      <w:r w:rsidRPr="00B8692A">
        <w:rPr>
          <w:rFonts w:ascii="Times New Roman" w:eastAsia="Times New Roman" w:hAnsi="Times New Roman"/>
          <w:sz w:val="20"/>
          <w:szCs w:val="20"/>
        </w:rPr>
        <w:t>behaviour</w:t>
      </w:r>
      <w:proofErr w:type="spellEnd"/>
      <w:r w:rsidRPr="00B8692A">
        <w:rPr>
          <w:rFonts w:ascii="Times New Roman" w:eastAsia="Times New Roman" w:hAnsi="Times New Roman"/>
          <w:sz w:val="20"/>
          <w:szCs w:val="20"/>
        </w:rPr>
        <w:t>, not causal promises (Karimi et al., 2021).</w:t>
      </w:r>
    </w:p>
    <w:p w14:paraId="2935B635" w14:textId="77777777" w:rsidR="00E4592D" w:rsidRPr="00736E2C" w:rsidRDefault="00000000">
      <w:pPr>
        <w:pStyle w:val="Heading2"/>
        <w:spacing w:before="160" w:after="40"/>
        <w:rPr>
          <w:color w:val="auto"/>
        </w:rPr>
      </w:pPr>
      <w:proofErr w:type="gramStart"/>
      <w:r w:rsidRPr="00736E2C">
        <w:rPr>
          <w:rFonts w:ascii="Times New Roman" w:eastAsia="Times New Roman" w:hAnsi="Times New Roman"/>
          <w:color w:val="auto"/>
          <w:sz w:val="22"/>
          <w:szCs w:val="24"/>
        </w:rPr>
        <w:t>5.6  System</w:t>
      </w:r>
      <w:proofErr w:type="gramEnd"/>
      <w:r w:rsidRPr="00736E2C">
        <w:rPr>
          <w:rFonts w:ascii="Times New Roman" w:eastAsia="Times New Roman" w:hAnsi="Times New Roman"/>
          <w:color w:val="auto"/>
          <w:sz w:val="22"/>
          <w:szCs w:val="24"/>
        </w:rPr>
        <w:t xml:space="preserve"> Architecture, Workflow and Expected Outputs</w:t>
      </w:r>
    </w:p>
    <w:p w14:paraId="0C9BC9B4" w14:textId="77777777" w:rsidR="00E4592D" w:rsidRDefault="00000000">
      <w:pPr>
        <w:jc w:val="both"/>
        <w:rPr>
          <w:rFonts w:ascii="Times New Roman" w:eastAsia="Times New Roman" w:hAnsi="Times New Roman"/>
          <w:sz w:val="20"/>
          <w:szCs w:val="20"/>
        </w:rPr>
      </w:pPr>
      <w:r w:rsidRPr="00B8692A">
        <w:rPr>
          <w:rFonts w:ascii="Times New Roman" w:eastAsia="Times New Roman" w:hAnsi="Times New Roman"/>
          <w:sz w:val="20"/>
          <w:szCs w:val="20"/>
        </w:rPr>
        <w:t xml:space="preserve">The end-to-end workflow will produce a frozen comparison of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and its baselines, quantitative explanation evidence, constrained counterfactuals, subgroup diagnostics, human-evaluation findings, a completed model card and reproducible report artefacts. A lightweight browser-based research interface will provide two controlled modes: a decision-support demonstration showing the frozen prediction, local explanation, reliability warnings and feasible support options, and a blinded study view </w:t>
      </w:r>
      <w:r w:rsidRPr="00B8692A">
        <w:rPr>
          <w:rFonts w:ascii="Times New Roman" w:eastAsia="Times New Roman" w:hAnsi="Times New Roman"/>
          <w:sz w:val="20"/>
          <w:szCs w:val="20"/>
        </w:rPr>
        <w:lastRenderedPageBreak/>
        <w:t>that will suppress the answer until the participant responds. Both modes will load the same versioned preprocessing and model artefacts used in evaluation as a research demonstration, not a production AIT service.</w:t>
      </w:r>
    </w:p>
    <w:p w14:paraId="61E829FB" w14:textId="178C5B98" w:rsidR="00841417" w:rsidRPr="00B8692A" w:rsidRDefault="00841417">
      <w:pPr>
        <w:jc w:val="both"/>
        <w:rPr>
          <w:rFonts w:ascii="Times New Roman" w:eastAsia="Times New Roman" w:hAnsi="Times New Roman"/>
          <w:sz w:val="20"/>
          <w:szCs w:val="20"/>
        </w:rPr>
      </w:pPr>
      <w:r w:rsidRPr="00841417">
        <w:rPr>
          <w:rFonts w:ascii="Times New Roman" w:eastAsia="Times New Roman" w:hAnsi="Times New Roman"/>
          <w:sz w:val="20"/>
          <w:szCs w:val="20"/>
        </w:rPr>
        <w:t xml:space="preserve">The interface will be a </w:t>
      </w:r>
      <w:proofErr w:type="spellStart"/>
      <w:r w:rsidRPr="00841417">
        <w:rPr>
          <w:rFonts w:ascii="Times New Roman" w:eastAsia="Times New Roman" w:hAnsi="Times New Roman"/>
          <w:sz w:val="20"/>
          <w:szCs w:val="20"/>
        </w:rPr>
        <w:t>Streamlit</w:t>
      </w:r>
      <w:proofErr w:type="spellEnd"/>
      <w:r w:rsidRPr="00841417">
        <w:rPr>
          <w:rFonts w:ascii="Times New Roman" w:eastAsia="Times New Roman" w:hAnsi="Times New Roman"/>
          <w:sz w:val="20"/>
          <w:szCs w:val="20"/>
        </w:rPr>
        <w:t xml:space="preserve"> application that runs locally or in a controlled course environment, will accept only pre-approved </w:t>
      </w:r>
      <w:proofErr w:type="spellStart"/>
      <w:r w:rsidRPr="00841417">
        <w:rPr>
          <w:rFonts w:ascii="Times New Roman" w:eastAsia="Times New Roman" w:hAnsi="Times New Roman"/>
          <w:sz w:val="20"/>
          <w:szCs w:val="20"/>
        </w:rPr>
        <w:t>pseudonymised</w:t>
      </w:r>
      <w:proofErr w:type="spellEnd"/>
      <w:r w:rsidRPr="00841417">
        <w:rPr>
          <w:rFonts w:ascii="Times New Roman" w:eastAsia="Times New Roman" w:hAnsi="Times New Roman"/>
          <w:sz w:val="20"/>
          <w:szCs w:val="20"/>
        </w:rPr>
        <w:t xml:space="preserve"> UCI cases, and will reject missing or out-of-range fields rather than silently correcting them. Its audit panel will display the model, data-split and interface versions so every screen can be traced to the evaluated artefacts.</w:t>
      </w:r>
    </w:p>
    <w:p w14:paraId="7EBB6843" w14:textId="77777777" w:rsidR="00736E2C" w:rsidRPr="00736E2C" w:rsidRDefault="00736E2C">
      <w:pPr>
        <w:jc w:val="both"/>
      </w:pPr>
    </w:p>
    <w:tbl>
      <w:tblPr>
        <w:tblW w:w="0" w:type="auto"/>
        <w:jc w:val="center"/>
        <w:tblLayout w:type="fixed"/>
        <w:tblLook w:val="04A0" w:firstRow="1" w:lastRow="0" w:firstColumn="1" w:lastColumn="0" w:noHBand="0" w:noVBand="1"/>
      </w:tblPr>
      <w:tblGrid>
        <w:gridCol w:w="2664"/>
        <w:gridCol w:w="360"/>
        <w:gridCol w:w="2664"/>
        <w:gridCol w:w="360"/>
        <w:gridCol w:w="2664"/>
      </w:tblGrid>
      <w:tr w:rsidR="00E4592D" w14:paraId="5AF1CADF"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4F95A594" w14:textId="77777777" w:rsidR="00E4592D" w:rsidRDefault="00000000">
            <w:pPr>
              <w:keepNext/>
              <w:jc w:val="center"/>
            </w:pPr>
            <w:r>
              <w:rPr>
                <w:rFonts w:ascii="Times New Roman" w:eastAsia="Times New Roman" w:hAnsi="Times New Roman"/>
                <w:b/>
                <w:color w:val="1F4E79"/>
                <w:sz w:val="14"/>
              </w:rPr>
              <w:t>1. Decision frame</w:t>
            </w:r>
            <w:r>
              <w:rPr>
                <w:rFonts w:ascii="Times New Roman" w:eastAsia="Times New Roman" w:hAnsi="Times New Roman"/>
                <w:b/>
                <w:color w:val="1F4E79"/>
                <w:sz w:val="14"/>
              </w:rPr>
              <w:br/>
              <w:t>intended user · decision · timing</w:t>
            </w:r>
            <w:r>
              <w:rPr>
                <w:rFonts w:ascii="Times New Roman" w:eastAsia="Times New Roman" w:hAnsi="Times New Roman"/>
                <w:b/>
                <w:color w:val="1F4E79"/>
                <w:sz w:val="14"/>
              </w:rPr>
              <w:br/>
              <w:t>binary target</w:t>
            </w:r>
          </w:p>
        </w:tc>
        <w:tc>
          <w:tcPr>
            <w:tcW w:w="360" w:type="dxa"/>
            <w:tcBorders>
              <w:top w:val="nil"/>
              <w:left w:val="nil"/>
              <w:bottom w:val="nil"/>
              <w:right w:val="nil"/>
            </w:tcBorders>
            <w:vAlign w:val="center"/>
          </w:tcPr>
          <w:p w14:paraId="3AFDF888"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3C34441C" w14:textId="77777777" w:rsidR="00E4592D" w:rsidRDefault="00000000">
            <w:pPr>
              <w:keepNext/>
              <w:jc w:val="center"/>
            </w:pPr>
            <w:r>
              <w:rPr>
                <w:rFonts w:ascii="Times New Roman" w:eastAsia="Times New Roman" w:hAnsi="Times New Roman"/>
                <w:b/>
                <w:color w:val="1F4E79"/>
                <w:sz w:val="14"/>
              </w:rPr>
              <w:t>2. Data design</w:t>
            </w:r>
            <w:r>
              <w:rPr>
                <w:rFonts w:ascii="Times New Roman" w:eastAsia="Times New Roman" w:hAnsi="Times New Roman"/>
                <w:b/>
                <w:color w:val="1F4E79"/>
                <w:sz w:val="14"/>
              </w:rPr>
              <w:br/>
              <w:t>UCI audit · feature windows</w:t>
            </w:r>
            <w:r>
              <w:rPr>
                <w:rFonts w:ascii="Times New Roman" w:eastAsia="Times New Roman" w:hAnsi="Times New Roman"/>
                <w:b/>
                <w:color w:val="1F4E79"/>
                <w:sz w:val="14"/>
              </w:rPr>
              <w:br/>
              <w:t>frozen 70/15/15 IDs</w:t>
            </w:r>
          </w:p>
        </w:tc>
        <w:tc>
          <w:tcPr>
            <w:tcW w:w="360" w:type="dxa"/>
            <w:tcBorders>
              <w:top w:val="nil"/>
              <w:left w:val="nil"/>
              <w:bottom w:val="nil"/>
              <w:right w:val="nil"/>
            </w:tcBorders>
            <w:vAlign w:val="center"/>
          </w:tcPr>
          <w:p w14:paraId="3C25C3AF"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0FD0DE6E" w14:textId="77777777" w:rsidR="00E4592D" w:rsidRDefault="00000000">
            <w:pPr>
              <w:keepNext/>
              <w:jc w:val="center"/>
            </w:pPr>
            <w:r>
              <w:rPr>
                <w:rFonts w:ascii="Times New Roman" w:eastAsia="Times New Roman" w:hAnsi="Times New Roman"/>
                <w:b/>
                <w:color w:val="1F4E79"/>
                <w:sz w:val="14"/>
              </w:rPr>
              <w:t>3. Model development</w:t>
            </w:r>
            <w:r>
              <w:rPr>
                <w:rFonts w:ascii="Times New Roman" w:eastAsia="Times New Roman" w:hAnsi="Times New Roman"/>
                <w:b/>
                <w:color w:val="1F4E79"/>
                <w:sz w:val="14"/>
              </w:rPr>
              <w:br/>
              <w:t>train-only preparation</w:t>
            </w:r>
            <w:r>
              <w:rPr>
                <w:rFonts w:ascii="Times New Roman" w:eastAsia="Times New Roman" w:hAnsi="Times New Roman"/>
                <w:b/>
                <w:color w:val="1F4E79"/>
                <w:sz w:val="14"/>
              </w:rPr>
              <w:br/>
            </w:r>
            <w:proofErr w:type="spellStart"/>
            <w:r>
              <w:rPr>
                <w:rFonts w:ascii="Times New Roman" w:eastAsia="Times New Roman" w:hAnsi="Times New Roman"/>
                <w:b/>
                <w:color w:val="1F4E79"/>
                <w:sz w:val="14"/>
              </w:rPr>
              <w:t>TabICL</w:t>
            </w:r>
            <w:proofErr w:type="spellEnd"/>
            <w:r>
              <w:rPr>
                <w:rFonts w:ascii="Times New Roman" w:eastAsia="Times New Roman" w:hAnsi="Times New Roman"/>
                <w:b/>
                <w:color w:val="1F4E79"/>
                <w:sz w:val="14"/>
              </w:rPr>
              <w:t xml:space="preserve"> + LR/tree/XGB/EBM</w:t>
            </w:r>
          </w:p>
        </w:tc>
      </w:tr>
      <w:tr w:rsidR="00E4592D" w14:paraId="51E47472" w14:textId="77777777">
        <w:trPr>
          <w:cantSplit/>
          <w:jc w:val="center"/>
        </w:trPr>
        <w:tc>
          <w:tcPr>
            <w:tcW w:w="2664" w:type="dxa"/>
            <w:tcBorders>
              <w:top w:val="nil"/>
              <w:left w:val="nil"/>
              <w:bottom w:val="nil"/>
              <w:right w:val="nil"/>
            </w:tcBorders>
            <w:vAlign w:val="center"/>
          </w:tcPr>
          <w:p w14:paraId="0900AD99" w14:textId="77777777" w:rsidR="00E4592D" w:rsidRDefault="00E4592D">
            <w:pPr>
              <w:keepNext/>
              <w:jc w:val="center"/>
            </w:pPr>
          </w:p>
        </w:tc>
        <w:tc>
          <w:tcPr>
            <w:tcW w:w="360" w:type="dxa"/>
            <w:tcBorders>
              <w:top w:val="nil"/>
              <w:left w:val="nil"/>
              <w:bottom w:val="nil"/>
              <w:right w:val="nil"/>
            </w:tcBorders>
            <w:vAlign w:val="center"/>
          </w:tcPr>
          <w:p w14:paraId="7A107F39" w14:textId="77777777" w:rsidR="00E4592D" w:rsidRDefault="00E4592D">
            <w:pPr>
              <w:keepNext/>
              <w:jc w:val="center"/>
            </w:pPr>
          </w:p>
        </w:tc>
        <w:tc>
          <w:tcPr>
            <w:tcW w:w="2664" w:type="dxa"/>
            <w:tcBorders>
              <w:top w:val="nil"/>
              <w:left w:val="nil"/>
              <w:bottom w:val="nil"/>
              <w:right w:val="nil"/>
            </w:tcBorders>
            <w:vAlign w:val="center"/>
          </w:tcPr>
          <w:p w14:paraId="65EDBA32" w14:textId="77777777" w:rsidR="00E4592D" w:rsidRDefault="00E4592D">
            <w:pPr>
              <w:keepNext/>
              <w:jc w:val="center"/>
            </w:pPr>
          </w:p>
        </w:tc>
        <w:tc>
          <w:tcPr>
            <w:tcW w:w="360" w:type="dxa"/>
            <w:tcBorders>
              <w:top w:val="nil"/>
              <w:left w:val="nil"/>
              <w:bottom w:val="nil"/>
              <w:right w:val="nil"/>
            </w:tcBorders>
            <w:vAlign w:val="center"/>
          </w:tcPr>
          <w:p w14:paraId="6C0D002E" w14:textId="77777777" w:rsidR="00E4592D" w:rsidRDefault="00E4592D">
            <w:pPr>
              <w:keepNext/>
              <w:jc w:val="center"/>
            </w:pPr>
          </w:p>
        </w:tc>
        <w:tc>
          <w:tcPr>
            <w:tcW w:w="2664" w:type="dxa"/>
            <w:tcBorders>
              <w:top w:val="nil"/>
              <w:left w:val="nil"/>
              <w:bottom w:val="nil"/>
              <w:right w:val="nil"/>
            </w:tcBorders>
            <w:vAlign w:val="center"/>
          </w:tcPr>
          <w:p w14:paraId="49CCD3C1" w14:textId="77777777" w:rsidR="00E4592D" w:rsidRDefault="00000000">
            <w:pPr>
              <w:keepNext/>
              <w:jc w:val="center"/>
            </w:pPr>
            <w:r>
              <w:rPr>
                <w:rFonts w:ascii="Times New Roman" w:eastAsia="Times New Roman" w:hAnsi="Times New Roman"/>
                <w:color w:val="1F4E79"/>
              </w:rPr>
              <w:t>↓</w:t>
            </w:r>
          </w:p>
        </w:tc>
      </w:tr>
      <w:tr w:rsidR="00E4592D" w14:paraId="6289DB77"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44541161" w14:textId="77777777" w:rsidR="00E4592D" w:rsidRDefault="00000000">
            <w:pPr>
              <w:keepNext/>
              <w:jc w:val="center"/>
            </w:pPr>
            <w:r>
              <w:rPr>
                <w:rFonts w:ascii="Times New Roman" w:eastAsia="Times New Roman" w:hAnsi="Times New Roman"/>
                <w:b/>
                <w:color w:val="1F4E79"/>
                <w:sz w:val="14"/>
              </w:rPr>
              <w:t>6. Local explanations</w:t>
            </w:r>
            <w:r>
              <w:rPr>
                <w:rFonts w:ascii="Times New Roman" w:eastAsia="Times New Roman" w:hAnsi="Times New Roman"/>
                <w:b/>
                <w:color w:val="1F4E79"/>
                <w:sz w:val="14"/>
              </w:rPr>
              <w:br/>
              <w:t>preselected held-out cases</w:t>
            </w:r>
            <w:r>
              <w:rPr>
                <w:rFonts w:ascii="Times New Roman" w:eastAsia="Times New Roman" w:hAnsi="Times New Roman"/>
                <w:b/>
                <w:color w:val="1F4E79"/>
                <w:sz w:val="14"/>
              </w:rPr>
              <w:br/>
              <w:t>model-agnostic SHAP</w:t>
            </w:r>
          </w:p>
        </w:tc>
        <w:tc>
          <w:tcPr>
            <w:tcW w:w="360" w:type="dxa"/>
            <w:tcBorders>
              <w:top w:val="nil"/>
              <w:left w:val="nil"/>
              <w:bottom w:val="nil"/>
              <w:right w:val="nil"/>
            </w:tcBorders>
            <w:vAlign w:val="center"/>
          </w:tcPr>
          <w:p w14:paraId="682B9984"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6BAD50A4" w14:textId="77777777" w:rsidR="00E4592D" w:rsidRDefault="00000000">
            <w:pPr>
              <w:keepNext/>
              <w:jc w:val="center"/>
            </w:pPr>
            <w:r>
              <w:rPr>
                <w:rFonts w:ascii="Times New Roman" w:eastAsia="Times New Roman" w:hAnsi="Times New Roman"/>
                <w:b/>
                <w:color w:val="1F4E79"/>
                <w:sz w:val="14"/>
              </w:rPr>
              <w:t>5. One-time final test</w:t>
            </w:r>
            <w:r>
              <w:rPr>
                <w:rFonts w:ascii="Times New Roman" w:eastAsia="Times New Roman" w:hAnsi="Times New Roman"/>
                <w:b/>
                <w:color w:val="1F4E79"/>
                <w:sz w:val="14"/>
              </w:rPr>
              <w:br/>
              <w:t>performance · calibration</w:t>
            </w:r>
            <w:r>
              <w:rPr>
                <w:rFonts w:ascii="Times New Roman" w:eastAsia="Times New Roman" w:hAnsi="Times New Roman"/>
                <w:b/>
                <w:color w:val="1F4E79"/>
                <w:sz w:val="14"/>
              </w:rPr>
              <w:br/>
              <w:t>paired uncertainty · runtime</w:t>
            </w:r>
          </w:p>
        </w:tc>
        <w:tc>
          <w:tcPr>
            <w:tcW w:w="360" w:type="dxa"/>
            <w:tcBorders>
              <w:top w:val="nil"/>
              <w:left w:val="nil"/>
              <w:bottom w:val="nil"/>
              <w:right w:val="nil"/>
            </w:tcBorders>
            <w:vAlign w:val="center"/>
          </w:tcPr>
          <w:p w14:paraId="72FB8ECC"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37A2259D" w14:textId="77777777" w:rsidR="00E4592D" w:rsidRDefault="00000000">
            <w:pPr>
              <w:keepNext/>
              <w:jc w:val="center"/>
            </w:pPr>
            <w:r>
              <w:rPr>
                <w:rFonts w:ascii="Times New Roman" w:eastAsia="Times New Roman" w:hAnsi="Times New Roman"/>
                <w:b/>
                <w:color w:val="1F4E79"/>
                <w:sz w:val="14"/>
              </w:rPr>
              <w:t>4. Validation freeze</w:t>
            </w:r>
            <w:r>
              <w:rPr>
                <w:rFonts w:ascii="Times New Roman" w:eastAsia="Times New Roman" w:hAnsi="Times New Roman"/>
                <w:b/>
                <w:color w:val="1F4E79"/>
                <w:sz w:val="14"/>
              </w:rPr>
              <w:br/>
              <w:t>model · capacity policy</w:t>
            </w:r>
            <w:r>
              <w:rPr>
                <w:rFonts w:ascii="Times New Roman" w:eastAsia="Times New Roman" w:hAnsi="Times New Roman"/>
                <w:b/>
                <w:color w:val="1F4E79"/>
                <w:sz w:val="14"/>
              </w:rPr>
              <w:br/>
              <w:t>SHAP groups/budget</w:t>
            </w:r>
          </w:p>
        </w:tc>
      </w:tr>
      <w:tr w:rsidR="00E4592D" w14:paraId="598E9AE4" w14:textId="77777777">
        <w:trPr>
          <w:cantSplit/>
          <w:jc w:val="center"/>
        </w:trPr>
        <w:tc>
          <w:tcPr>
            <w:tcW w:w="2664" w:type="dxa"/>
            <w:tcBorders>
              <w:top w:val="nil"/>
              <w:left w:val="nil"/>
              <w:bottom w:val="nil"/>
              <w:right w:val="nil"/>
            </w:tcBorders>
            <w:vAlign w:val="center"/>
          </w:tcPr>
          <w:p w14:paraId="5DB53F7E" w14:textId="77777777" w:rsidR="00E4592D" w:rsidRDefault="00000000">
            <w:pPr>
              <w:keepNext/>
              <w:jc w:val="center"/>
            </w:pPr>
            <w:r>
              <w:rPr>
                <w:rFonts w:ascii="Times New Roman" w:eastAsia="Times New Roman" w:hAnsi="Times New Roman"/>
                <w:color w:val="1F4E79"/>
              </w:rPr>
              <w:t>↓</w:t>
            </w:r>
          </w:p>
        </w:tc>
        <w:tc>
          <w:tcPr>
            <w:tcW w:w="360" w:type="dxa"/>
            <w:tcBorders>
              <w:top w:val="nil"/>
              <w:left w:val="nil"/>
              <w:bottom w:val="nil"/>
              <w:right w:val="nil"/>
            </w:tcBorders>
            <w:vAlign w:val="center"/>
          </w:tcPr>
          <w:p w14:paraId="0D51A7C2" w14:textId="77777777" w:rsidR="00E4592D" w:rsidRDefault="00E4592D">
            <w:pPr>
              <w:keepNext/>
              <w:jc w:val="center"/>
            </w:pPr>
          </w:p>
        </w:tc>
        <w:tc>
          <w:tcPr>
            <w:tcW w:w="2664" w:type="dxa"/>
            <w:tcBorders>
              <w:top w:val="nil"/>
              <w:left w:val="nil"/>
              <w:bottom w:val="nil"/>
              <w:right w:val="nil"/>
            </w:tcBorders>
            <w:vAlign w:val="center"/>
          </w:tcPr>
          <w:p w14:paraId="109D6EEF" w14:textId="77777777" w:rsidR="00E4592D" w:rsidRDefault="00E4592D">
            <w:pPr>
              <w:keepNext/>
              <w:jc w:val="center"/>
            </w:pPr>
          </w:p>
        </w:tc>
        <w:tc>
          <w:tcPr>
            <w:tcW w:w="360" w:type="dxa"/>
            <w:tcBorders>
              <w:top w:val="nil"/>
              <w:left w:val="nil"/>
              <w:bottom w:val="nil"/>
              <w:right w:val="nil"/>
            </w:tcBorders>
            <w:vAlign w:val="center"/>
          </w:tcPr>
          <w:p w14:paraId="02B575CF" w14:textId="77777777" w:rsidR="00E4592D" w:rsidRDefault="00E4592D">
            <w:pPr>
              <w:keepNext/>
              <w:jc w:val="center"/>
            </w:pPr>
          </w:p>
        </w:tc>
        <w:tc>
          <w:tcPr>
            <w:tcW w:w="2664" w:type="dxa"/>
            <w:tcBorders>
              <w:top w:val="nil"/>
              <w:left w:val="nil"/>
              <w:bottom w:val="nil"/>
              <w:right w:val="nil"/>
            </w:tcBorders>
            <w:vAlign w:val="center"/>
          </w:tcPr>
          <w:p w14:paraId="06753568" w14:textId="77777777" w:rsidR="00E4592D" w:rsidRDefault="00E4592D">
            <w:pPr>
              <w:keepNext/>
              <w:jc w:val="center"/>
            </w:pPr>
          </w:p>
        </w:tc>
      </w:tr>
      <w:tr w:rsidR="00E4592D" w14:paraId="58BC5805"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4ED911EE" w14:textId="77777777" w:rsidR="00E4592D" w:rsidRDefault="00000000">
            <w:pPr>
              <w:keepNext/>
              <w:jc w:val="center"/>
            </w:pPr>
            <w:r>
              <w:rPr>
                <w:rFonts w:ascii="Times New Roman" w:eastAsia="Times New Roman" w:hAnsi="Times New Roman"/>
                <w:b/>
                <w:color w:val="1F4E79"/>
                <w:sz w:val="14"/>
              </w:rPr>
              <w:t>7. Explanation evidence</w:t>
            </w:r>
            <w:r>
              <w:rPr>
                <w:rFonts w:ascii="Times New Roman" w:eastAsia="Times New Roman" w:hAnsi="Times New Roman"/>
                <w:b/>
                <w:color w:val="1F4E79"/>
                <w:sz w:val="14"/>
              </w:rPr>
              <w:br/>
              <w:t>deletion + white-box · stability</w:t>
            </w:r>
            <w:r>
              <w:rPr>
                <w:rFonts w:ascii="Times New Roman" w:eastAsia="Times New Roman" w:hAnsi="Times New Roman"/>
                <w:b/>
                <w:color w:val="1F4E79"/>
                <w:sz w:val="14"/>
              </w:rPr>
              <w:br/>
              <w:t>perturbation · recourse</w:t>
            </w:r>
          </w:p>
        </w:tc>
        <w:tc>
          <w:tcPr>
            <w:tcW w:w="360" w:type="dxa"/>
            <w:tcBorders>
              <w:top w:val="nil"/>
              <w:left w:val="nil"/>
              <w:bottom w:val="nil"/>
              <w:right w:val="nil"/>
            </w:tcBorders>
            <w:vAlign w:val="center"/>
          </w:tcPr>
          <w:p w14:paraId="7891C4B4"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0B342727" w14:textId="77777777" w:rsidR="00E4592D" w:rsidRDefault="00000000">
            <w:pPr>
              <w:keepNext/>
              <w:jc w:val="center"/>
            </w:pPr>
            <w:r>
              <w:rPr>
                <w:rFonts w:ascii="Times New Roman" w:eastAsia="Times New Roman" w:hAnsi="Times New Roman"/>
                <w:b/>
                <w:color w:val="1F4E79"/>
                <w:sz w:val="14"/>
              </w:rPr>
              <w:t>8. Decision-support study</w:t>
            </w:r>
            <w:r>
              <w:rPr>
                <w:rFonts w:ascii="Times New Roman" w:eastAsia="Times New Roman" w:hAnsi="Times New Roman"/>
                <w:b/>
                <w:color w:val="1F4E79"/>
                <w:sz w:val="14"/>
              </w:rPr>
              <w:br/>
              <w:t>subgroup/proxy audit · interface</w:t>
            </w:r>
            <w:r>
              <w:rPr>
                <w:rFonts w:ascii="Times New Roman" w:eastAsia="Times New Roman" w:hAnsi="Times New Roman"/>
                <w:b/>
                <w:color w:val="1F4E79"/>
                <w:sz w:val="14"/>
              </w:rPr>
              <w:br/>
              <w:t>blinded A/B study + coding</w:t>
            </w:r>
          </w:p>
        </w:tc>
        <w:tc>
          <w:tcPr>
            <w:tcW w:w="360" w:type="dxa"/>
            <w:tcBorders>
              <w:top w:val="nil"/>
              <w:left w:val="nil"/>
              <w:bottom w:val="nil"/>
              <w:right w:val="nil"/>
            </w:tcBorders>
            <w:vAlign w:val="center"/>
          </w:tcPr>
          <w:p w14:paraId="6ACEBD16" w14:textId="77777777" w:rsidR="00E4592D" w:rsidRDefault="00000000">
            <w:pPr>
              <w:keepNext/>
              <w:jc w:val="center"/>
            </w:pPr>
            <w:r>
              <w:rPr>
                <w:rFonts w:ascii="Times New Roman" w:eastAsia="Times New Roman" w:hAnsi="Times New Roman"/>
                <w:color w:val="1F4E79"/>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1838DE7E" w14:textId="59CB7025" w:rsidR="00E4592D" w:rsidRDefault="00000000">
            <w:pPr>
              <w:keepNext/>
              <w:jc w:val="center"/>
            </w:pPr>
            <w:r>
              <w:rPr>
                <w:rFonts w:ascii="Times New Roman" w:eastAsia="Times New Roman" w:hAnsi="Times New Roman"/>
                <w:b/>
                <w:color w:val="1F4E79"/>
                <w:sz w:val="14"/>
              </w:rPr>
              <w:t xml:space="preserve">9. </w:t>
            </w:r>
            <w:r w:rsidR="00736E2C">
              <w:rPr>
                <w:rFonts w:ascii="Times New Roman" w:eastAsia="Times New Roman" w:hAnsi="Times New Roman"/>
                <w:b/>
                <w:color w:val="1F4E79"/>
                <w:sz w:val="14"/>
              </w:rPr>
              <w:t>Lightweight I</w:t>
            </w:r>
            <w:r>
              <w:rPr>
                <w:rFonts w:ascii="Times New Roman" w:eastAsia="Times New Roman" w:hAnsi="Times New Roman"/>
                <w:b/>
                <w:color w:val="1F4E79"/>
                <w:sz w:val="14"/>
              </w:rPr>
              <w:t>nterface</w:t>
            </w:r>
            <w:r w:rsidR="00B8692A">
              <w:rPr>
                <w:rFonts w:ascii="Times New Roman" w:eastAsia="Times New Roman" w:hAnsi="Times New Roman"/>
                <w:b/>
                <w:color w:val="1F4E79"/>
                <w:sz w:val="14"/>
              </w:rPr>
              <w:t xml:space="preserve"> + Project Deliverables (report+ code +tables+ model card)</w:t>
            </w:r>
          </w:p>
        </w:tc>
      </w:tr>
    </w:tbl>
    <w:p w14:paraId="4AD47EA4" w14:textId="77777777" w:rsidR="00736E2C" w:rsidRDefault="00736E2C">
      <w:pPr>
        <w:spacing w:after="120"/>
        <w:jc w:val="both"/>
        <w:rPr>
          <w:rFonts w:ascii="Times New Roman" w:eastAsia="Times New Roman" w:hAnsi="Times New Roman"/>
          <w:i/>
          <w:iCs/>
          <w:sz w:val="18"/>
          <w:szCs w:val="18"/>
        </w:rPr>
      </w:pPr>
    </w:p>
    <w:p w14:paraId="4C89A643" w14:textId="3F416535" w:rsidR="00E4592D" w:rsidRDefault="00000000">
      <w:pPr>
        <w:spacing w:after="120"/>
        <w:jc w:val="both"/>
        <w:rPr>
          <w:rFonts w:ascii="Times New Roman" w:eastAsia="Times New Roman" w:hAnsi="Times New Roman"/>
          <w:i/>
          <w:iCs/>
          <w:sz w:val="18"/>
          <w:szCs w:val="18"/>
        </w:rPr>
      </w:pPr>
      <w:r w:rsidRPr="00736E2C">
        <w:rPr>
          <w:rFonts w:ascii="Times New Roman" w:eastAsia="Times New Roman" w:hAnsi="Times New Roman"/>
          <w:i/>
          <w:iCs/>
          <w:sz w:val="18"/>
          <w:szCs w:val="18"/>
        </w:rPr>
        <w:t>Figure 1. Proposed research workflow. Model, capacity policy and explanation protocols will be frozen on validation data before one-time final testing. Ethics, governance and reproducibility will apply throughout.</w:t>
      </w:r>
    </w:p>
    <w:p w14:paraId="47BAF737" w14:textId="77777777" w:rsidR="00841417" w:rsidRPr="00841417" w:rsidRDefault="00841417">
      <w:pPr>
        <w:spacing w:after="120"/>
        <w:jc w:val="both"/>
        <w:rPr>
          <w:sz w:val="18"/>
          <w:szCs w:val="18"/>
        </w:rPr>
      </w:pPr>
    </w:p>
    <w:p w14:paraId="57BC2823" w14:textId="77777777" w:rsidR="00E4592D" w:rsidRPr="00B8692A" w:rsidRDefault="00000000">
      <w:pPr>
        <w:pStyle w:val="Heading2"/>
        <w:spacing w:after="40"/>
        <w:rPr>
          <w:color w:val="auto"/>
          <w:sz w:val="22"/>
          <w:szCs w:val="22"/>
        </w:rPr>
      </w:pPr>
      <w:proofErr w:type="gramStart"/>
      <w:r w:rsidRPr="00B8692A">
        <w:rPr>
          <w:rFonts w:ascii="Times New Roman" w:eastAsia="Times New Roman" w:hAnsi="Times New Roman"/>
          <w:color w:val="auto"/>
          <w:sz w:val="22"/>
          <w:szCs w:val="22"/>
        </w:rPr>
        <w:t>5.7  Qualitative</w:t>
      </w:r>
      <w:proofErr w:type="gramEnd"/>
      <w:r w:rsidRPr="00B8692A">
        <w:rPr>
          <w:rFonts w:ascii="Times New Roman" w:eastAsia="Times New Roman" w:hAnsi="Times New Roman"/>
          <w:color w:val="auto"/>
          <w:sz w:val="22"/>
          <w:szCs w:val="22"/>
        </w:rPr>
        <w:t xml:space="preserve"> Analysis of Human-Study Responses</w:t>
      </w:r>
    </w:p>
    <w:p w14:paraId="685CB1B6" w14:textId="77777777" w:rsidR="00E4592D" w:rsidRPr="00B8692A" w:rsidRDefault="00000000">
      <w:pPr>
        <w:jc w:val="both"/>
        <w:rPr>
          <w:sz w:val="20"/>
          <w:szCs w:val="20"/>
        </w:rPr>
      </w:pPr>
      <w:r w:rsidRPr="00B8692A">
        <w:rPr>
          <w:rFonts w:ascii="Times New Roman" w:eastAsia="Times New Roman" w:hAnsi="Times New Roman"/>
          <w:sz w:val="20"/>
          <w:szCs w:val="20"/>
        </w:rPr>
        <w:t>After the prediction task, each participant will explain the judgement, propose a support action, and flag missing information. A pre-defined coding guide will group responses into comprehension, actionability and information-gap categories;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14:paraId="471A7BA4"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t>6. Ethics, Fairness and Data Governance</w:t>
      </w:r>
    </w:p>
    <w:p w14:paraId="5E062B54" w14:textId="4DFDFB6D" w:rsidR="00E4592D" w:rsidRPr="00B8692A" w:rsidRDefault="00000000">
      <w:pPr>
        <w:jc w:val="both"/>
        <w:rPr>
          <w:sz w:val="20"/>
          <w:szCs w:val="20"/>
        </w:rPr>
      </w:pPr>
      <w:r w:rsidRPr="00B8692A">
        <w:rPr>
          <w:rFonts w:ascii="Times New Roman" w:eastAsia="Times New Roman" w:hAnsi="Times New Roman"/>
          <w:sz w:val="20"/>
          <w:szCs w:val="20"/>
        </w:rPr>
        <w:t xml:space="preserve">The UCI dataset is publicly available under CC BY 4.0 with no direct identifiers; its citation and </w:t>
      </w:r>
      <w:proofErr w:type="spellStart"/>
      <w:r w:rsidRPr="00B8692A">
        <w:rPr>
          <w:rFonts w:ascii="Times New Roman" w:eastAsia="Times New Roman" w:hAnsi="Times New Roman"/>
          <w:sz w:val="20"/>
          <w:szCs w:val="20"/>
        </w:rPr>
        <w:t>licence</w:t>
      </w:r>
      <w:proofErr w:type="spellEnd"/>
      <w:r w:rsidRPr="00B8692A">
        <w:rPr>
          <w:rFonts w:ascii="Times New Roman" w:eastAsia="Times New Roman" w:hAnsi="Times New Roman"/>
          <w:sz w:val="20"/>
          <w:szCs w:val="20"/>
        </w:rPr>
        <w:t xml:space="preserve"> will be preserved, the raw file will remain unchanged, and all transformations will be documented. AIT human-study participation will be voluntary, informed-consent based, and penalty-free to decline or withdraw. No names, AIT identifiers or administrative records will be collected; raw free text will stay outside version control, accidental identifiers will be removed, and only aggregate or paraphrased findings will be reported. Before recruitment, the team will confirm with the course instructor whether institutional approval is required, obtaining it where </w:t>
      </w:r>
      <w:r w:rsidR="00841417" w:rsidRPr="00B8692A">
        <w:rPr>
          <w:rFonts w:ascii="Times New Roman" w:eastAsia="Times New Roman" w:hAnsi="Times New Roman"/>
          <w:sz w:val="20"/>
          <w:szCs w:val="20"/>
        </w:rPr>
        <w:t>applicable.</w:t>
      </w:r>
      <w:r w:rsidR="00841417">
        <w:rPr>
          <w:rFonts w:ascii="Times New Roman" w:eastAsia="Times New Roman" w:hAnsi="Times New Roman"/>
          <w:sz w:val="20"/>
          <w:szCs w:val="20"/>
        </w:rPr>
        <w:t xml:space="preserve"> Also,</w:t>
      </w:r>
      <w:r w:rsidR="00841417" w:rsidRPr="00841417">
        <w:t xml:space="preserve"> </w:t>
      </w:r>
      <w:r w:rsidR="00841417">
        <w:rPr>
          <w:rFonts w:ascii="Times New Roman" w:eastAsia="Times New Roman" w:hAnsi="Times New Roman"/>
          <w:sz w:val="20"/>
          <w:szCs w:val="20"/>
        </w:rPr>
        <w:t>t</w:t>
      </w:r>
      <w:r w:rsidR="00841417" w:rsidRPr="00841417">
        <w:rPr>
          <w:rFonts w:ascii="Times New Roman" w:eastAsia="Times New Roman" w:hAnsi="Times New Roman"/>
          <w:sz w:val="20"/>
          <w:szCs w:val="20"/>
        </w:rPr>
        <w:t>he interface will not be deployed publicly, will collect no names or AIT identifiers, and will store raw free-text responses outside version control.</w:t>
      </w:r>
    </w:p>
    <w:p w14:paraId="2DB90CCF" w14:textId="77777777" w:rsidR="00E4592D" w:rsidRPr="00B8692A" w:rsidRDefault="00000000">
      <w:pPr>
        <w:jc w:val="both"/>
        <w:rPr>
          <w:sz w:val="20"/>
          <w:szCs w:val="20"/>
        </w:rPr>
      </w:pPr>
      <w:r w:rsidRPr="00B8692A">
        <w:rPr>
          <w:rFonts w:ascii="Times New Roman" w:eastAsia="Times New Roman" w:hAnsi="Times New Roman"/>
          <w:sz w:val="20"/>
          <w:szCs w:val="2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14:paraId="2F2D2C21" w14:textId="77777777" w:rsidR="00E4592D" w:rsidRPr="00B8692A" w:rsidRDefault="00000000">
      <w:pPr>
        <w:jc w:val="both"/>
        <w:rPr>
          <w:sz w:val="20"/>
          <w:szCs w:val="20"/>
        </w:rPr>
      </w:pPr>
      <w:r w:rsidRPr="00B8692A">
        <w:rPr>
          <w:rFonts w:ascii="Times New Roman" w:eastAsia="Times New Roman" w:hAnsi="Times New Roman"/>
          <w:sz w:val="20"/>
          <w:szCs w:val="20"/>
        </w:rPr>
        <w:t xml:space="preserve">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w:t>
      </w:r>
      <w:proofErr w:type="spellStart"/>
      <w:r w:rsidRPr="00B8692A">
        <w:rPr>
          <w:rFonts w:ascii="Times New Roman" w:eastAsia="Times New Roman" w:hAnsi="Times New Roman"/>
          <w:sz w:val="20"/>
          <w:szCs w:val="20"/>
        </w:rPr>
        <w:t>prioritisation</w:t>
      </w:r>
      <w:proofErr w:type="spellEnd"/>
      <w:r w:rsidRPr="00B8692A">
        <w:rPr>
          <w:rFonts w:ascii="Times New Roman" w:eastAsia="Times New Roman" w:hAnsi="Times New Roman"/>
          <w:sz w:val="20"/>
          <w:szCs w:val="20"/>
        </w:rPr>
        <w:t>, not autonomous denial of education or services.</w:t>
      </w:r>
    </w:p>
    <w:p w14:paraId="7302BA0A"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t>7. Feasibility and Model Complexity</w:t>
      </w:r>
    </w:p>
    <w:p w14:paraId="4AA7F97C" w14:textId="77777777" w:rsidR="00E4592D" w:rsidRDefault="00000000">
      <w:pPr>
        <w:jc w:val="both"/>
        <w:rPr>
          <w:rFonts w:ascii="Times New Roman" w:eastAsia="Times New Roman" w:hAnsi="Times New Roman"/>
          <w:sz w:val="20"/>
          <w:szCs w:val="20"/>
        </w:rPr>
      </w:pP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w:t>
      </w:r>
      <w:proofErr w:type="spellStart"/>
      <w:r w:rsidRPr="00B8692A">
        <w:rPr>
          <w:rFonts w:ascii="Times New Roman" w:eastAsia="Times New Roman" w:hAnsi="Times New Roman"/>
          <w:sz w:val="20"/>
          <w:szCs w:val="20"/>
        </w:rPr>
        <w:t>simulatable</w:t>
      </w:r>
      <w:proofErr w:type="spellEnd"/>
      <w:r w:rsidRPr="00B8692A">
        <w:rPr>
          <w:rFonts w:ascii="Times New Roman" w:eastAsia="Times New Roman" w:hAnsi="Times New Roman"/>
          <w:sz w:val="20"/>
          <w:szCs w:val="20"/>
        </w:rPr>
        <w:t xml:space="preserve"> comparisons. </w:t>
      </w:r>
      <w:proofErr w:type="spellStart"/>
      <w:r w:rsidRPr="00B8692A">
        <w:rPr>
          <w:rFonts w:ascii="Times New Roman" w:eastAsia="Times New Roman" w:hAnsi="Times New Roman"/>
          <w:sz w:val="20"/>
          <w:szCs w:val="20"/>
        </w:rPr>
        <w:t>TabICL's</w:t>
      </w:r>
      <w:proofErr w:type="spellEnd"/>
      <w:r w:rsidRPr="00B8692A">
        <w:rPr>
          <w:rFonts w:ascii="Times New Roman" w:eastAsia="Times New Roman" w:hAnsi="Times New Roman"/>
          <w:sz w:val="20"/>
          <w:szCs w:val="20"/>
        </w:rPr>
        <w:t xml:space="preserve"> validation ROC-AUC exceeds EBM by only 0.006, so the project does not presume that complexity is operationally justified; final same-test-set performance, calibration, runtime and explanation evidence will determine whether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 xml:space="preserve"> remains a research comparison or EBM is the more defensible deployment candidate.</w:t>
      </w:r>
    </w:p>
    <w:p w14:paraId="78999FA1" w14:textId="77777777" w:rsidR="00B8692A" w:rsidRDefault="00B8692A">
      <w:pPr>
        <w:jc w:val="both"/>
        <w:rPr>
          <w:rFonts w:ascii="Times New Roman" w:eastAsia="Times New Roman" w:hAnsi="Times New Roman"/>
          <w:sz w:val="20"/>
          <w:szCs w:val="20"/>
        </w:rPr>
      </w:pPr>
    </w:p>
    <w:p w14:paraId="333FF343" w14:textId="77777777" w:rsidR="00B8692A" w:rsidRDefault="00B8692A">
      <w:pPr>
        <w:jc w:val="both"/>
        <w:rPr>
          <w:rFonts w:ascii="Times New Roman" w:eastAsia="Times New Roman" w:hAnsi="Times New Roman"/>
          <w:sz w:val="20"/>
          <w:szCs w:val="20"/>
        </w:rPr>
      </w:pPr>
    </w:p>
    <w:p w14:paraId="1486A72D" w14:textId="77777777" w:rsidR="00B8692A" w:rsidRPr="00B8692A" w:rsidRDefault="00B8692A">
      <w:pPr>
        <w:jc w:val="both"/>
        <w:rPr>
          <w:sz w:val="20"/>
          <w:szCs w:val="20"/>
        </w:rPr>
      </w:pPr>
    </w:p>
    <w:p w14:paraId="291ADA99"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t>8. Reproducibility and Documentation</w:t>
      </w:r>
    </w:p>
    <w:p w14:paraId="0171C6AB" w14:textId="266EBF90" w:rsidR="00E4592D" w:rsidRPr="00B8692A" w:rsidRDefault="00000000" w:rsidP="00736E2C">
      <w:pPr>
        <w:jc w:val="both"/>
        <w:rPr>
          <w:sz w:val="20"/>
          <w:szCs w:val="20"/>
        </w:rPr>
      </w:pPr>
      <w:r w:rsidRPr="00B8692A">
        <w:rPr>
          <w:rFonts w:ascii="Times New Roman" w:eastAsia="Times New Roman" w:hAnsi="Times New Roman"/>
          <w:sz w:val="20"/>
          <w:szCs w:val="20"/>
        </w:rPr>
        <w:t xml:space="preserve">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w:t>
      </w:r>
      <w:proofErr w:type="spellStart"/>
      <w:r w:rsidRPr="00B8692A">
        <w:rPr>
          <w:rFonts w:ascii="Times New Roman" w:eastAsia="Times New Roman" w:hAnsi="Times New Roman"/>
          <w:sz w:val="20"/>
          <w:szCs w:val="20"/>
        </w:rPr>
        <w:t>TabICL</w:t>
      </w:r>
      <w:proofErr w:type="spellEnd"/>
      <w:r w:rsidRPr="00B8692A">
        <w:rPr>
          <w:rFonts w:ascii="Times New Roman" w:eastAsia="Times New Roman" w:hAnsi="Times New Roman"/>
          <w:sz w:val="20"/>
          <w:szCs w:val="20"/>
        </w:rPr>
        <w:t>/SHAP integration, grouped importance, ALE, explicit subgroup suppression and proxy tables are implemented. Before final submission, one command will regenerate every report artefact and another will launch the interface from frozen artefacts. The completed model card will record intended use, data, final metrics, explanation evidence, subgroup results and limitations.</w:t>
      </w:r>
    </w:p>
    <w:p w14:paraId="04DF2DE5" w14:textId="77777777" w:rsidR="00E4592D" w:rsidRPr="00B8692A" w:rsidRDefault="00000000">
      <w:pPr>
        <w:pStyle w:val="Heading1"/>
        <w:spacing w:before="240" w:after="80"/>
        <w:rPr>
          <w:color w:val="auto"/>
          <w:sz w:val="22"/>
          <w:szCs w:val="22"/>
        </w:rPr>
      </w:pPr>
      <w:r w:rsidRPr="00B8692A">
        <w:rPr>
          <w:rFonts w:ascii="Times New Roman" w:eastAsia="Times New Roman" w:hAnsi="Times New Roman"/>
          <w:color w:val="auto"/>
          <w:sz w:val="22"/>
          <w:szCs w:val="22"/>
        </w:rPr>
        <w:t>9. Expected Contribution, Limitations and Contingencies</w:t>
      </w:r>
    </w:p>
    <w:p w14:paraId="00F05E46" w14:textId="77777777" w:rsidR="00E4592D" w:rsidRPr="00B8692A" w:rsidRDefault="00000000">
      <w:pPr>
        <w:jc w:val="both"/>
        <w:rPr>
          <w:rFonts w:ascii="Times New Roman" w:hAnsi="Times New Roman" w:cs="Times New Roman"/>
          <w:sz w:val="20"/>
          <w:szCs w:val="20"/>
        </w:rPr>
      </w:pPr>
      <w:r w:rsidRPr="00B8692A">
        <w:rPr>
          <w:rFonts w:ascii="Times New Roman" w:eastAsia="Times New Roman" w:hAnsi="Times New Roman"/>
          <w:sz w:val="20"/>
          <w:szCs w:val="20"/>
        </w:rPr>
        <w:t xml:space="preserve">The proposed contribution will extend beyond accuracy by asking whether </w:t>
      </w:r>
      <w:proofErr w:type="spellStart"/>
      <w:r w:rsidRPr="00B8692A">
        <w:rPr>
          <w:rFonts w:ascii="Times New Roman" w:eastAsia="Times New Roman" w:hAnsi="Times New Roman"/>
          <w:sz w:val="20"/>
          <w:szCs w:val="20"/>
        </w:rPr>
        <w:t>TabICL's</w:t>
      </w:r>
      <w:proofErr w:type="spellEnd"/>
      <w:r w:rsidRPr="00B8692A">
        <w:rPr>
          <w:rFonts w:ascii="Times New Roman" w:eastAsia="Times New Roman" w:hAnsi="Times New Roman"/>
          <w:sz w:val="20"/>
          <w:szCs w:val="20"/>
        </w:rPr>
        <w:t xml:space="preserve">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w:t>
      </w:r>
      <w:r w:rsidRPr="00B8692A">
        <w:rPr>
          <w:rFonts w:ascii="Times New Roman" w:eastAsia="Times New Roman" w:hAnsi="Times New Roman" w:cs="Times New Roman"/>
          <w:sz w:val="20"/>
          <w:szCs w:val="20"/>
        </w:rPr>
        <w:t xml:space="preserve">descriptive. Findings will remain valuable if EBM matches or exceeds </w:t>
      </w:r>
      <w:proofErr w:type="spellStart"/>
      <w:r w:rsidRPr="00B8692A">
        <w:rPr>
          <w:rFonts w:ascii="Times New Roman" w:eastAsia="Times New Roman" w:hAnsi="Times New Roman" w:cs="Times New Roman"/>
          <w:sz w:val="20"/>
          <w:szCs w:val="20"/>
        </w:rPr>
        <w:t>TabICL</w:t>
      </w:r>
      <w:proofErr w:type="spellEnd"/>
      <w:r w:rsidRPr="00B8692A">
        <w:rPr>
          <w:rFonts w:ascii="Times New Roman" w:eastAsia="Times New Roman" w:hAnsi="Times New Roman" w:cs="Times New Roman"/>
          <w:sz w:val="20"/>
          <w:szCs w:val="20"/>
        </w:rPr>
        <w:t>, explanations are unstable or unfaithful, participants gain no benefit, or feasible recourse is unavailable.</w:t>
      </w:r>
    </w:p>
    <w:p w14:paraId="23CF9157" w14:textId="77777777" w:rsidR="00736E2C" w:rsidRPr="00B8692A" w:rsidRDefault="00736E2C">
      <w:pPr>
        <w:jc w:val="both"/>
        <w:rPr>
          <w:rFonts w:ascii="Times New Roman" w:eastAsia="Times New Roman" w:hAnsi="Times New Roman" w:cs="Times New Roman"/>
        </w:rPr>
      </w:pPr>
    </w:p>
    <w:p w14:paraId="0E2CD826" w14:textId="1E8CF7A2" w:rsidR="00736E2C" w:rsidRDefault="00000000">
      <w:pPr>
        <w:jc w:val="both"/>
        <w:rPr>
          <w:rFonts w:ascii="Times New Roman" w:eastAsia="Times New Roman" w:hAnsi="Times New Roman" w:cs="Times New Roman"/>
        </w:rPr>
      </w:pPr>
      <w:r w:rsidRPr="00B8692A">
        <w:rPr>
          <w:rFonts w:ascii="Times New Roman" w:eastAsia="Times New Roman" w:hAnsi="Times New Roman" w:cs="Times New Roman"/>
          <w:b/>
          <w:bCs/>
        </w:rPr>
        <w:t>Code and data availability</w:t>
      </w:r>
      <w:r w:rsidRPr="00B8692A">
        <w:rPr>
          <w:rFonts w:ascii="Times New Roman" w:eastAsia="Times New Roman" w:hAnsi="Times New Roman" w:cs="Times New Roman"/>
        </w:rPr>
        <w:t xml:space="preserve">. </w:t>
      </w:r>
      <w:hyperlink r:id="rId7" w:history="1">
        <w:r w:rsidR="00B8692A" w:rsidRPr="006C0F52">
          <w:rPr>
            <w:rStyle w:val="Hyperlink"/>
            <w:rFonts w:ascii="Times New Roman" w:eastAsia="Times New Roman" w:hAnsi="Times New Roman" w:cs="Times New Roman"/>
          </w:rPr>
          <w:t>https://github.com/TheInterpreters/Student-Dropout-Risk</w:t>
        </w:r>
      </w:hyperlink>
    </w:p>
    <w:p w14:paraId="6E435A51" w14:textId="77777777" w:rsidR="00B8692A" w:rsidRPr="00B8692A" w:rsidRDefault="00B8692A">
      <w:pPr>
        <w:jc w:val="both"/>
        <w:rPr>
          <w:rFonts w:ascii="Times New Roman" w:eastAsia="Times New Roman" w:hAnsi="Times New Roman" w:cs="Times New Roman"/>
        </w:rPr>
      </w:pPr>
    </w:p>
    <w:p w14:paraId="205D4542" w14:textId="53ED1DF5" w:rsidR="00E4592D" w:rsidRDefault="00000000">
      <w:pPr>
        <w:jc w:val="both"/>
        <w:rPr>
          <w:rFonts w:ascii="Times New Roman" w:eastAsia="Times New Roman" w:hAnsi="Times New Roman" w:cs="Times New Roman"/>
        </w:rPr>
      </w:pPr>
      <w:r w:rsidRPr="00736E2C">
        <w:rPr>
          <w:rFonts w:ascii="Times New Roman" w:eastAsia="Times New Roman" w:hAnsi="Times New Roman" w:cs="Times New Roman"/>
        </w:rPr>
        <w:t xml:space="preserve"> </w:t>
      </w:r>
    </w:p>
    <w:p w14:paraId="508D69F8" w14:textId="11D3CADB" w:rsidR="00736E2C" w:rsidRPr="00736E2C" w:rsidRDefault="00736E2C" w:rsidP="00736E2C">
      <w:pPr>
        <w:jc w:val="both"/>
        <w:rPr>
          <w:rFonts w:ascii="Times New Roman" w:hAnsi="Times New Roman" w:cs="Times New Roman"/>
          <w:b/>
          <w:bCs/>
        </w:rPr>
      </w:pPr>
      <w:r w:rsidRPr="00736E2C">
        <w:rPr>
          <w:rFonts w:ascii="Times New Roman" w:hAnsi="Times New Roman" w:cs="Times New Roman"/>
          <w:b/>
          <w:bCs/>
        </w:rPr>
        <w:t>References</w:t>
      </w:r>
    </w:p>
    <w:p w14:paraId="4F1CE64B" w14:textId="77777777" w:rsidR="00736E2C" w:rsidRPr="00736E2C" w:rsidRDefault="00736E2C" w:rsidP="00736E2C">
      <w:pPr>
        <w:jc w:val="both"/>
        <w:rPr>
          <w:rFonts w:ascii="Times New Roman" w:hAnsi="Times New Roman" w:cs="Times New Roman"/>
          <w:b/>
          <w:bCs/>
          <w:sz w:val="18"/>
          <w:szCs w:val="18"/>
        </w:rPr>
      </w:pPr>
    </w:p>
    <w:p w14:paraId="5C272C3A" w14:textId="77CD6B25" w:rsidR="00736E2C" w:rsidRPr="00B8692A" w:rsidRDefault="00736E2C" w:rsidP="00B8692A">
      <w:pPr>
        <w:jc w:val="both"/>
        <w:rPr>
          <w:rFonts w:ascii="Times New Roman" w:hAnsi="Times New Roman" w:cs="Times New Roman"/>
          <w:sz w:val="20"/>
          <w:szCs w:val="20"/>
        </w:rPr>
      </w:pPr>
      <w:proofErr w:type="spellStart"/>
      <w:r w:rsidRPr="00B8692A">
        <w:rPr>
          <w:rFonts w:ascii="Times New Roman" w:hAnsi="Times New Roman" w:cs="Times New Roman"/>
          <w:sz w:val="20"/>
          <w:szCs w:val="20"/>
        </w:rPr>
        <w:t>Realinho</w:t>
      </w:r>
      <w:proofErr w:type="spellEnd"/>
      <w:r w:rsidRPr="00B8692A">
        <w:rPr>
          <w:rFonts w:ascii="Times New Roman" w:hAnsi="Times New Roman" w:cs="Times New Roman"/>
          <w:sz w:val="20"/>
          <w:szCs w:val="20"/>
        </w:rPr>
        <w:t xml:space="preserve">, V., Vieira Martins, M., Machado, J., &amp; Baptista, L. (2021). Predict Students’ Dropout and Academic Success [Dataset]. UCI Machine Learning Repository. </w:t>
      </w:r>
      <w:hyperlink r:id="rId8" w:history="1">
        <w:r w:rsidRPr="00B8692A">
          <w:rPr>
            <w:rStyle w:val="Hyperlink"/>
            <w:rFonts w:ascii="Times New Roman" w:hAnsi="Times New Roman" w:cs="Times New Roman"/>
            <w:sz w:val="20"/>
            <w:szCs w:val="20"/>
          </w:rPr>
          <w:t>https://doi.org/10.24432/C5MC89</w:t>
        </w:r>
      </w:hyperlink>
    </w:p>
    <w:p w14:paraId="65D8A4CE" w14:textId="2693482A" w:rsidR="00736E2C" w:rsidRPr="00B8692A" w:rsidRDefault="00736E2C" w:rsidP="00B8692A">
      <w:pPr>
        <w:jc w:val="both"/>
        <w:rPr>
          <w:rFonts w:ascii="Times New Roman" w:hAnsi="Times New Roman" w:cs="Times New Roman"/>
          <w:sz w:val="20"/>
          <w:szCs w:val="20"/>
        </w:rPr>
      </w:pPr>
      <w:proofErr w:type="spellStart"/>
      <w:r w:rsidRPr="00B8692A">
        <w:rPr>
          <w:rFonts w:ascii="Times New Roman" w:hAnsi="Times New Roman" w:cs="Times New Roman"/>
          <w:sz w:val="20"/>
          <w:szCs w:val="20"/>
        </w:rPr>
        <w:t>Realinho</w:t>
      </w:r>
      <w:proofErr w:type="spellEnd"/>
      <w:r w:rsidRPr="00B8692A">
        <w:rPr>
          <w:rFonts w:ascii="Times New Roman" w:hAnsi="Times New Roman" w:cs="Times New Roman"/>
          <w:sz w:val="20"/>
          <w:szCs w:val="20"/>
        </w:rPr>
        <w:t xml:space="preserve">, V., Machado, J., Baptista, L., &amp; Martins, M. V. (2022). Predicting student dropout and academic success. Data, 7(11), 146. </w:t>
      </w:r>
      <w:hyperlink r:id="rId9" w:history="1">
        <w:r w:rsidRPr="00B8692A">
          <w:rPr>
            <w:rStyle w:val="Hyperlink"/>
            <w:rFonts w:ascii="Times New Roman" w:hAnsi="Times New Roman" w:cs="Times New Roman"/>
            <w:sz w:val="20"/>
            <w:szCs w:val="20"/>
          </w:rPr>
          <w:t>https://doi.org/10.3390/data7110146</w:t>
        </w:r>
      </w:hyperlink>
    </w:p>
    <w:p w14:paraId="433756B7" w14:textId="137F40EB"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Hollmann, N., Müller, S., Purucker, L., Krishnakumar, A., </w:t>
      </w:r>
      <w:proofErr w:type="spellStart"/>
      <w:r w:rsidRPr="00B8692A">
        <w:rPr>
          <w:rFonts w:ascii="Times New Roman" w:hAnsi="Times New Roman" w:cs="Times New Roman"/>
          <w:sz w:val="20"/>
          <w:szCs w:val="20"/>
        </w:rPr>
        <w:t>Körfer</w:t>
      </w:r>
      <w:proofErr w:type="spellEnd"/>
      <w:r w:rsidRPr="00B8692A">
        <w:rPr>
          <w:rFonts w:ascii="Times New Roman" w:hAnsi="Times New Roman" w:cs="Times New Roman"/>
          <w:sz w:val="20"/>
          <w:szCs w:val="20"/>
        </w:rPr>
        <w:t xml:space="preserve">, M., Hoo, S. B., </w:t>
      </w:r>
      <w:proofErr w:type="spellStart"/>
      <w:r w:rsidRPr="00B8692A">
        <w:rPr>
          <w:rFonts w:ascii="Times New Roman" w:hAnsi="Times New Roman" w:cs="Times New Roman"/>
          <w:sz w:val="20"/>
          <w:szCs w:val="20"/>
        </w:rPr>
        <w:t>Schirrmeister</w:t>
      </w:r>
      <w:proofErr w:type="spellEnd"/>
      <w:r w:rsidRPr="00B8692A">
        <w:rPr>
          <w:rFonts w:ascii="Times New Roman" w:hAnsi="Times New Roman" w:cs="Times New Roman"/>
          <w:sz w:val="20"/>
          <w:szCs w:val="20"/>
        </w:rPr>
        <w:t xml:space="preserve">, R. T., &amp; Hutter, F. (2025). Accurate predictions on small data with a tabular foundation model. Nature, 637, 319–326. </w:t>
      </w:r>
      <w:hyperlink r:id="rId10" w:history="1">
        <w:r w:rsidRPr="00B8692A">
          <w:rPr>
            <w:rStyle w:val="Hyperlink"/>
            <w:rFonts w:ascii="Times New Roman" w:hAnsi="Times New Roman" w:cs="Times New Roman"/>
            <w:sz w:val="20"/>
            <w:szCs w:val="20"/>
          </w:rPr>
          <w:t>https://doi.org/10.1038/s41586-024-08328-6</w:t>
        </w:r>
      </w:hyperlink>
    </w:p>
    <w:p w14:paraId="3D068931" w14:textId="33D2EB4F"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Qu, J., </w:t>
      </w:r>
      <w:proofErr w:type="spellStart"/>
      <w:r w:rsidRPr="00B8692A">
        <w:rPr>
          <w:rFonts w:ascii="Times New Roman" w:hAnsi="Times New Roman" w:cs="Times New Roman"/>
          <w:sz w:val="20"/>
          <w:szCs w:val="20"/>
        </w:rPr>
        <w:t>Holzmüller</w:t>
      </w:r>
      <w:proofErr w:type="spellEnd"/>
      <w:r w:rsidRPr="00B8692A">
        <w:rPr>
          <w:rFonts w:ascii="Times New Roman" w:hAnsi="Times New Roman" w:cs="Times New Roman"/>
          <w:sz w:val="20"/>
          <w:szCs w:val="20"/>
        </w:rPr>
        <w:t xml:space="preserve">, D., </w:t>
      </w:r>
      <w:proofErr w:type="spellStart"/>
      <w:r w:rsidRPr="00B8692A">
        <w:rPr>
          <w:rFonts w:ascii="Times New Roman" w:hAnsi="Times New Roman" w:cs="Times New Roman"/>
          <w:sz w:val="20"/>
          <w:szCs w:val="20"/>
        </w:rPr>
        <w:t>Varoquaux</w:t>
      </w:r>
      <w:proofErr w:type="spellEnd"/>
      <w:r w:rsidRPr="00B8692A">
        <w:rPr>
          <w:rFonts w:ascii="Times New Roman" w:hAnsi="Times New Roman" w:cs="Times New Roman"/>
          <w:sz w:val="20"/>
          <w:szCs w:val="20"/>
        </w:rPr>
        <w:t xml:space="preserve">, G., &amp; Le Morvan, M. (2025). </w:t>
      </w:r>
      <w:proofErr w:type="spellStart"/>
      <w:r w:rsidRPr="00B8692A">
        <w:rPr>
          <w:rFonts w:ascii="Times New Roman" w:hAnsi="Times New Roman" w:cs="Times New Roman"/>
          <w:sz w:val="20"/>
          <w:szCs w:val="20"/>
        </w:rPr>
        <w:t>TabICL</w:t>
      </w:r>
      <w:proofErr w:type="spellEnd"/>
      <w:r w:rsidRPr="00B8692A">
        <w:rPr>
          <w:rFonts w:ascii="Times New Roman" w:hAnsi="Times New Roman" w:cs="Times New Roman"/>
          <w:sz w:val="20"/>
          <w:szCs w:val="20"/>
        </w:rPr>
        <w:t xml:space="preserve">: A tabular foundation model for in-context learning on large data. Proceedings of the 42nd International Conference on Machine Learning, PMLR 267, 50817–50847. </w:t>
      </w:r>
      <w:hyperlink r:id="rId11" w:history="1">
        <w:r w:rsidRPr="00B8692A">
          <w:rPr>
            <w:rStyle w:val="Hyperlink"/>
            <w:rFonts w:ascii="Times New Roman" w:hAnsi="Times New Roman" w:cs="Times New Roman"/>
            <w:sz w:val="20"/>
            <w:szCs w:val="20"/>
          </w:rPr>
          <w:t>https://proceedings.mlr.press/v267/qu25d.html</w:t>
        </w:r>
      </w:hyperlink>
    </w:p>
    <w:p w14:paraId="3EC9E70E" w14:textId="7B1B5582"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Lou, Y., Caruana, R., Gehrke, J., &amp; Hooker, G. (2013). Accurate intelligible models with pairwise interactions. Proceedings of the 19th ACM SIGKDD International Conference on Knowledge Discovery and Data Mining, 623–631. </w:t>
      </w:r>
      <w:hyperlink r:id="rId12" w:history="1">
        <w:r w:rsidRPr="00B8692A">
          <w:rPr>
            <w:rStyle w:val="Hyperlink"/>
            <w:rFonts w:ascii="Times New Roman" w:hAnsi="Times New Roman" w:cs="Times New Roman"/>
            <w:sz w:val="20"/>
            <w:szCs w:val="20"/>
          </w:rPr>
          <w:t>https://doi.org/10.1145/2487575.2487579</w:t>
        </w:r>
      </w:hyperlink>
    </w:p>
    <w:p w14:paraId="62B1DE26" w14:textId="7698DE6D"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Lundberg, S. M., &amp; Lee, S.-I. (2017). A unified approach to interpreting model predictions. Advances in Neural Information Processing Systems, 30, 4765–4774. </w:t>
      </w:r>
      <w:hyperlink r:id="rId13" w:history="1">
        <w:r w:rsidRPr="00B8692A">
          <w:rPr>
            <w:rStyle w:val="Hyperlink"/>
            <w:rFonts w:ascii="Times New Roman" w:hAnsi="Times New Roman" w:cs="Times New Roman"/>
            <w:sz w:val="20"/>
            <w:szCs w:val="20"/>
          </w:rPr>
          <w:t>https://proceedings.neurips.cc/paper/2017/hash/8a20a8621978632d76c43dfd28b67767-Abstract.html</w:t>
        </w:r>
      </w:hyperlink>
    </w:p>
    <w:p w14:paraId="5CA43E61" w14:textId="68794350"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Nauta, M., Trienes, J., Pathak, S., Nguyen, E., Peters, M., Schmitt, Y., </w:t>
      </w:r>
      <w:proofErr w:type="spellStart"/>
      <w:r w:rsidRPr="00B8692A">
        <w:rPr>
          <w:rFonts w:ascii="Times New Roman" w:hAnsi="Times New Roman" w:cs="Times New Roman"/>
          <w:sz w:val="20"/>
          <w:szCs w:val="20"/>
        </w:rPr>
        <w:t>Schlötterer</w:t>
      </w:r>
      <w:proofErr w:type="spellEnd"/>
      <w:r w:rsidRPr="00B8692A">
        <w:rPr>
          <w:rFonts w:ascii="Times New Roman" w:hAnsi="Times New Roman" w:cs="Times New Roman"/>
          <w:sz w:val="20"/>
          <w:szCs w:val="20"/>
        </w:rPr>
        <w:t xml:space="preserve">, J., van Keulen, M., &amp; Seifert, C. (2023). From anecdotal evidence to quantitative evaluation methods: A systematic review on evaluating explainable AI. ACM Computing Surveys, 55(13s), Article 295. </w:t>
      </w:r>
      <w:hyperlink r:id="rId14" w:history="1">
        <w:r w:rsidRPr="00B8692A">
          <w:rPr>
            <w:rStyle w:val="Hyperlink"/>
            <w:rFonts w:ascii="Times New Roman" w:hAnsi="Times New Roman" w:cs="Times New Roman"/>
            <w:sz w:val="20"/>
            <w:szCs w:val="20"/>
          </w:rPr>
          <w:t>https://doi.org/10.1145/3583558</w:t>
        </w:r>
      </w:hyperlink>
    </w:p>
    <w:p w14:paraId="23FA02A1" w14:textId="1626F02C"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Hase, P., &amp; Bansal, M. (2020). Evaluating explainable AI: Which algorithmic explanations help users predict model behavior? Proceedings of the 58th Annual Meeting of the Association for Computational Linguistics, 5540–5552. </w:t>
      </w:r>
      <w:hyperlink r:id="rId15" w:history="1">
        <w:r w:rsidRPr="00B8692A">
          <w:rPr>
            <w:rStyle w:val="Hyperlink"/>
            <w:rFonts w:ascii="Times New Roman" w:hAnsi="Times New Roman" w:cs="Times New Roman"/>
            <w:sz w:val="20"/>
            <w:szCs w:val="20"/>
          </w:rPr>
          <w:t>https://doi.org/10.18653/v1/2020.acl-main.491</w:t>
        </w:r>
      </w:hyperlink>
    </w:p>
    <w:p w14:paraId="4943A9D6" w14:textId="7C15C8D1"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Karimi, A.-H., </w:t>
      </w:r>
      <w:proofErr w:type="spellStart"/>
      <w:r w:rsidRPr="00B8692A">
        <w:rPr>
          <w:rFonts w:ascii="Times New Roman" w:hAnsi="Times New Roman" w:cs="Times New Roman"/>
          <w:sz w:val="20"/>
          <w:szCs w:val="20"/>
        </w:rPr>
        <w:t>Schölkopf</w:t>
      </w:r>
      <w:proofErr w:type="spellEnd"/>
      <w:r w:rsidRPr="00B8692A">
        <w:rPr>
          <w:rFonts w:ascii="Times New Roman" w:hAnsi="Times New Roman" w:cs="Times New Roman"/>
          <w:sz w:val="20"/>
          <w:szCs w:val="20"/>
        </w:rPr>
        <w:t xml:space="preserve">, B., &amp; Valera, I. (2021). Algorithmic recourse: From counterfactual explanations to interventions. Proceedings of the 2021 ACM Conference on Fairness, Accountability, and Transparency, 353–362. </w:t>
      </w:r>
      <w:hyperlink r:id="rId16" w:history="1">
        <w:r w:rsidRPr="00B8692A">
          <w:rPr>
            <w:rStyle w:val="Hyperlink"/>
            <w:rFonts w:ascii="Times New Roman" w:hAnsi="Times New Roman" w:cs="Times New Roman"/>
            <w:sz w:val="20"/>
            <w:szCs w:val="20"/>
          </w:rPr>
          <w:t>https://doi.org/10.1145/3442188.3445899</w:t>
        </w:r>
      </w:hyperlink>
    </w:p>
    <w:p w14:paraId="48F39CA9" w14:textId="06A73154" w:rsidR="00736E2C" w:rsidRPr="00B8692A" w:rsidRDefault="00736E2C" w:rsidP="00B8692A">
      <w:pPr>
        <w:jc w:val="both"/>
        <w:rPr>
          <w:rFonts w:ascii="Times New Roman" w:hAnsi="Times New Roman" w:cs="Times New Roman"/>
          <w:sz w:val="20"/>
          <w:szCs w:val="20"/>
        </w:rPr>
      </w:pPr>
      <w:r w:rsidRPr="00B8692A">
        <w:rPr>
          <w:rFonts w:ascii="Times New Roman" w:hAnsi="Times New Roman" w:cs="Times New Roman"/>
          <w:sz w:val="20"/>
          <w:szCs w:val="20"/>
        </w:rPr>
        <w:t xml:space="preserve">Tiukhova, E., Vemuri, P., López Flores, N., </w:t>
      </w:r>
      <w:proofErr w:type="spellStart"/>
      <w:r w:rsidRPr="00B8692A">
        <w:rPr>
          <w:rFonts w:ascii="Times New Roman" w:hAnsi="Times New Roman" w:cs="Times New Roman"/>
          <w:sz w:val="20"/>
          <w:szCs w:val="20"/>
        </w:rPr>
        <w:t>Islind</w:t>
      </w:r>
      <w:proofErr w:type="spellEnd"/>
      <w:r w:rsidRPr="00B8692A">
        <w:rPr>
          <w:rFonts w:ascii="Times New Roman" w:hAnsi="Times New Roman" w:cs="Times New Roman"/>
          <w:sz w:val="20"/>
          <w:szCs w:val="20"/>
        </w:rPr>
        <w:t xml:space="preserve">, A. S., Óskarsdóttir, M., Poelmans, S., </w:t>
      </w:r>
      <w:proofErr w:type="spellStart"/>
      <w:r w:rsidRPr="00B8692A">
        <w:rPr>
          <w:rFonts w:ascii="Times New Roman" w:hAnsi="Times New Roman" w:cs="Times New Roman"/>
          <w:sz w:val="20"/>
          <w:szCs w:val="20"/>
        </w:rPr>
        <w:t>Baesens</w:t>
      </w:r>
      <w:proofErr w:type="spellEnd"/>
      <w:r w:rsidRPr="00B8692A">
        <w:rPr>
          <w:rFonts w:ascii="Times New Roman" w:hAnsi="Times New Roman" w:cs="Times New Roman"/>
          <w:sz w:val="20"/>
          <w:szCs w:val="20"/>
        </w:rPr>
        <w:t xml:space="preserve">, B., &amp; </w:t>
      </w:r>
      <w:proofErr w:type="spellStart"/>
      <w:r w:rsidRPr="00B8692A">
        <w:rPr>
          <w:rFonts w:ascii="Times New Roman" w:hAnsi="Times New Roman" w:cs="Times New Roman"/>
          <w:sz w:val="20"/>
          <w:szCs w:val="20"/>
        </w:rPr>
        <w:t>Snoeck</w:t>
      </w:r>
      <w:proofErr w:type="spellEnd"/>
      <w:r w:rsidRPr="00B8692A">
        <w:rPr>
          <w:rFonts w:ascii="Times New Roman" w:hAnsi="Times New Roman" w:cs="Times New Roman"/>
          <w:sz w:val="20"/>
          <w:szCs w:val="20"/>
        </w:rPr>
        <w:t xml:space="preserve">, M. (2024). Explainable learning analytics: Assessing the stability of student success prediction models by means of explainable AI. Decision Support Systems, 182, 114229. </w:t>
      </w:r>
      <w:hyperlink r:id="rId17" w:history="1">
        <w:r w:rsidRPr="00B8692A">
          <w:rPr>
            <w:rStyle w:val="Hyperlink"/>
            <w:rFonts w:ascii="Times New Roman" w:hAnsi="Times New Roman" w:cs="Times New Roman"/>
            <w:sz w:val="20"/>
            <w:szCs w:val="20"/>
          </w:rPr>
          <w:t>https://doi.org/10.1016/j.dss.2024.114229</w:t>
        </w:r>
      </w:hyperlink>
    </w:p>
    <w:p w14:paraId="2485D5F8" w14:textId="77777777" w:rsidR="00E907C0" w:rsidRPr="00736E2C" w:rsidRDefault="00E907C0" w:rsidP="00B8692A">
      <w:pPr>
        <w:jc w:val="both"/>
        <w:rPr>
          <w:rFonts w:ascii="Times New Roman" w:hAnsi="Times New Roman" w:cs="Times New Roman"/>
          <w:sz w:val="18"/>
          <w:szCs w:val="18"/>
        </w:rPr>
      </w:pPr>
    </w:p>
    <w:sectPr w:rsidR="00E907C0" w:rsidRPr="00736E2C">
      <w:footerReference w:type="default" r:id="rId18"/>
      <w:pgSz w:w="12240" w:h="15840"/>
      <w:pgMar w:top="720" w:right="1080" w:bottom="72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244EB2" w14:textId="77777777" w:rsidR="002208C1" w:rsidRDefault="002208C1" w:rsidP="00736E2C">
      <w:r>
        <w:separator/>
      </w:r>
    </w:p>
  </w:endnote>
  <w:endnote w:type="continuationSeparator" w:id="0">
    <w:p w14:paraId="1E934EB7" w14:textId="77777777" w:rsidR="002208C1" w:rsidRDefault="002208C1" w:rsidP="00736E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0788069-BE22-D344-8A09-7A3A62361A6E}"/>
    <w:embedBold r:id="rId2" w:fontKey="{7E1868BE-7320-334F-9F98-C37E3C1ED14E}"/>
    <w:embedItalic r:id="rId3" w:fontKey="{C81E993A-3FD0-A949-A406-5C0B38AB5F66}"/>
    <w:embedBoldItalic r:id="rId4" w:fontKey="{4ABA513F-CECE-234C-8077-1AFBE1C960AB}"/>
  </w:font>
  <w:font w:name="Times New Roman">
    <w:panose1 w:val="02020603050405020304"/>
    <w:charset w:val="00"/>
    <w:family w:val="roman"/>
    <w:pitch w:val="variable"/>
    <w:sig w:usb0="E0002EFF" w:usb1="C000785B" w:usb2="00000009" w:usb3="00000000" w:csb0="000001FF" w:csb1="00000000"/>
    <w:embedRegular r:id="rId5" w:fontKey="{C7F56B5A-285A-BD4D-ACD4-68116422C140}"/>
    <w:embedBold r:id="rId6" w:fontKey="{955D681D-6C8C-504F-8D4E-BDEAA8CB3DA1}"/>
    <w:embedItalic r:id="rId7" w:fontKey="{C0A30DF5-7EC0-7E4B-9930-3D2F9EAFA891}"/>
    <w:embedBoldItalic r:id="rId8" w:fontKey="{D35CEEC6-2D23-1344-B1C8-0972CD2FE953}"/>
  </w:font>
  <w:font w:name="Angsana New">
    <w:panose1 w:val="02020603050405020304"/>
    <w:charset w:val="00"/>
    <w:family w:val="roman"/>
    <w:pitch w:val="variable"/>
    <w:sig w:usb0="81000003" w:usb1="00000000" w:usb2="00000000" w:usb3="00000000" w:csb0="00010001" w:csb1="00000000"/>
    <w:embedRegular r:id="rId9" w:fontKey="{F9EC7FC9-7FEB-494D-A8DB-970D55C2602D}"/>
    <w:embedBold r:id="rId10" w:fontKey="{D6B528B0-F7AE-4B49-A382-9183E9025BF3}"/>
    <w:embedItalic r:id="rId11" w:fontKey="{A3AE5BF1-2A06-8542-B48D-F9AAA39AA0A5}"/>
    <w:embedBoldItalic r:id="rId12" w:fontKey="{D3C40180-BF73-714F-8986-04FBDE02E49B}"/>
  </w:font>
  <w:font w:name="Courier">
    <w:panose1 w:val="02070309020205020404"/>
    <w:charset w:val="00"/>
    <w:family w:val="modern"/>
    <w:pitch w:val="fixed"/>
    <w:sig w:usb0="00000003" w:usb1="00000000" w:usb2="00000000" w:usb3="00000000" w:csb0="00000001" w:csb1="00000000"/>
    <w:embedRegular r:id="rId13" w:fontKey="{6A96F79B-2C27-1B49-BA27-A6F1A6D88672}"/>
  </w:font>
  <w:font w:name="Cambria">
    <w:panose1 w:val="02040503050406030204"/>
    <w:charset w:val="00"/>
    <w:family w:val="roman"/>
    <w:pitch w:val="variable"/>
    <w:sig w:usb0="E00006FF" w:usb1="420024FF" w:usb2="02000000" w:usb3="00000000" w:csb0="0000019F" w:csb1="00000000"/>
    <w:embedRegular r:id="rId14" w:fontKey="{37E93513-5238-8041-8CBC-F2848B41A474}"/>
  </w:font>
  <w:font w:name="Cordia New">
    <w:panose1 w:val="020B0304020202020204"/>
    <w:charset w:val="00"/>
    <w:family w:val="swiss"/>
    <w:pitch w:val="variable"/>
    <w:sig w:usb0="81000003" w:usb1="00000000" w:usb2="00000000" w:usb3="00000000" w:csb0="00010001" w:csb1="00000000"/>
    <w:embedRegular r:id="rId15" w:fontKey="{F806BADD-99C1-1448-83F2-0DEF4F12419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169223"/>
      <w:docPartObj>
        <w:docPartGallery w:val="Page Numbers (Bottom of Page)"/>
        <w:docPartUnique/>
      </w:docPartObj>
    </w:sdtPr>
    <w:sdtEndPr>
      <w:rPr>
        <w:color w:val="7F7F7F" w:themeColor="background1" w:themeShade="7F"/>
        <w:spacing w:val="60"/>
      </w:rPr>
    </w:sdtEndPr>
    <w:sdtContent>
      <w:p w14:paraId="56C46BEA" w14:textId="634735DD" w:rsidR="00736E2C" w:rsidRDefault="00736E2C">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6F93B8D" w14:textId="77777777" w:rsidR="00736E2C" w:rsidRDefault="00736E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B6AD13" w14:textId="77777777" w:rsidR="002208C1" w:rsidRDefault="002208C1" w:rsidP="00736E2C">
      <w:r>
        <w:separator/>
      </w:r>
    </w:p>
  </w:footnote>
  <w:footnote w:type="continuationSeparator" w:id="0">
    <w:p w14:paraId="74B2EBC7" w14:textId="77777777" w:rsidR="002208C1" w:rsidRDefault="002208C1" w:rsidP="00736E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DE026A3"/>
    <w:multiLevelType w:val="multilevel"/>
    <w:tmpl w:val="FB78C46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30115444">
    <w:abstractNumId w:val="0"/>
  </w:num>
  <w:num w:numId="2" w16cid:durableId="4189882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4668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61506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19346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03812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92D"/>
    <w:rsid w:val="001722B6"/>
    <w:rsid w:val="002208C1"/>
    <w:rsid w:val="00420D0B"/>
    <w:rsid w:val="005F1C99"/>
    <w:rsid w:val="00736E2C"/>
    <w:rsid w:val="00841417"/>
    <w:rsid w:val="00B8692A"/>
    <w:rsid w:val="00E4592D"/>
    <w:rsid w:val="00E907C0"/>
    <w:rsid w:val="00EF122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7A466"/>
  <w15:docId w15:val="{FB52E9B5-2A28-490A-BBD3-176E86439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 w:eastAsia="en-US" w:bidi="th-TH"/>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next w:val="Normal"/>
    <w:link w:val="Heading1Char"/>
    <w:uiPriority w:val="9"/>
    <w:qFormat/>
    <w:pPr>
      <w:keepNext/>
      <w:keepLines/>
      <w:spacing w:before="480"/>
      <w:outlineLvl w:val="0"/>
    </w:pPr>
    <w:rPr>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pPr>
    <w:rPr>
      <w:color w:val="17365D"/>
      <w:sz w:val="52"/>
      <w:szCs w:val="5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i/>
      <w:iCs/>
      <w:color w:val="4F81BD"/>
      <w:sz w:val="24"/>
      <w:szCs w:val="24"/>
    </w:rPr>
  </w:style>
  <w:style w:type="table" w:customStyle="1" w:styleId="a">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Hyperlink">
    <w:name w:val="Hyperlink"/>
    <w:basedOn w:val="DefaultParagraphFont"/>
    <w:uiPriority w:val="99"/>
    <w:unhideWhenUsed/>
    <w:rsid w:val="00736E2C"/>
    <w:rPr>
      <w:color w:val="0000FF" w:themeColor="hyperlink"/>
      <w:u w:val="single"/>
    </w:rPr>
  </w:style>
  <w:style w:type="character" w:styleId="UnresolvedMention">
    <w:name w:val="Unresolved Mention"/>
    <w:basedOn w:val="DefaultParagraphFont"/>
    <w:uiPriority w:val="99"/>
    <w:semiHidden/>
    <w:unhideWhenUsed/>
    <w:rsid w:val="00736E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4432/C5MC89" TargetMode="External"/><Relationship Id="rId13" Type="http://schemas.openxmlformats.org/officeDocument/2006/relationships/hyperlink" Target="https://proceedings.neurips.cc/paper/2017/hash/8a20a8621978632d76c43dfd28b67767-Abstract.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TheInterpreters/Student-Dropout-Risk" TargetMode="External"/><Relationship Id="rId12" Type="http://schemas.openxmlformats.org/officeDocument/2006/relationships/hyperlink" Target="https://doi.org/10.1145/2487575.2487579" TargetMode="External"/><Relationship Id="rId17" Type="http://schemas.openxmlformats.org/officeDocument/2006/relationships/hyperlink" Target="https://doi.org/10.1016/j.dss.2024.114229" TargetMode="External"/><Relationship Id="rId2" Type="http://schemas.openxmlformats.org/officeDocument/2006/relationships/styles" Target="styles.xml"/><Relationship Id="rId16" Type="http://schemas.openxmlformats.org/officeDocument/2006/relationships/hyperlink" Target="https://doi.org/10.1145/3442188.34458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mlr.press/v267/qu25d.html" TargetMode="External"/><Relationship Id="rId5" Type="http://schemas.openxmlformats.org/officeDocument/2006/relationships/footnotes" Target="footnotes.xml"/><Relationship Id="rId15" Type="http://schemas.openxmlformats.org/officeDocument/2006/relationships/hyperlink" Target="https://doi.org/10.18653/v1/2020.acl-main.491" TargetMode="External"/><Relationship Id="rId10" Type="http://schemas.openxmlformats.org/officeDocument/2006/relationships/hyperlink" Target="https://doi.org/10.1038/s41586-024-0832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3390/data7110146" TargetMode="External"/><Relationship Id="rId14" Type="http://schemas.openxmlformats.org/officeDocument/2006/relationships/hyperlink" Target="https://doi.org/10.1145/358355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3144</Words>
  <Characters>17925</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Catching Students Before They Leave</vt:lpstr>
    </vt:vector>
  </TitlesOfParts>
  <Company/>
  <LinksUpToDate>false</LinksUpToDate>
  <CharactersWithSpaces>21027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Catching Students Before They Leave</dc:title>
  <dc:subject>Updated XDS group project proposal: UCI tabular foundation model and explanation evaluation</dc:subject>
  <dc:creator>python-docx</dc:creator>
  <cp:lastModifiedBy>Han Htoo Zaw</cp:lastModifiedBy>
  <cp:revision>5</cp:revision>
  <cp:lastPrinted>2026-09-19T17:21:00Z</cp:lastPrinted>
  <dcterms:created xsi:type="dcterms:W3CDTF">2013-12-23T23:15:00Z</dcterms:created>
  <dcterms:modified xsi:type="dcterms:W3CDTF">2026-10-07T19:47:00Z</dcterms:modified>
</cp:coreProperties>
</file>