
<file path=[Content_Types].xml><?xml version="1.0" encoding="utf-8"?>
<ns0:Types xmlns:ns0="http://schemas.openxmlformats.org/package/2006/content-types">
  <ns0:Default Extension="rels" ContentType="application/vnd.openxmlformats-package.relationships+xml"/>
  <ns0:Default Extension="xml" ContentType="application/xml"/>
  <ns0:Override PartName="/docProps/core.xml" ContentType="application/vnd.openxmlformats-package.core-properties+xml"/>
  <ns0:Override PartName="/word/document.xml" ContentType="application/vnd.openxmlformats-officedocument.wordprocessingml.document.main+xml"/>
  <ns0:Override PartName="/word/fontTable.xml" ContentType="application/vnd.openxmlformats-officedocument.wordprocessingml.fontTable+xml"/>
  <ns0:Override PartName="/word/numbering.xml" ContentType="application/vnd.openxmlformats-officedocument.wordprocessingml.numbering+xml"/>
  <ns0:Override PartName="/word/settings.xml" ContentType="application/vnd.openxmlformats-officedocument.wordprocessingml.settings+xml"/>
  <ns0:Override PartName="/word/styles.xml" ContentType="application/vnd.openxmlformats-officedocument.wordprocessingml.styles+xml"/>
  <ns0:Override PartName="/word/theme/theme1.xml" ContentType="application/vnd.openxmlformats-officedocument.theme+xml"/>
</ns0: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jc w:val="center"/>
        <w:rPr/>
      </w:pPr>
      <w:r w:rsidDel="00000000" w:rsidR="00000000" w:rsidRPr="00000000">
        <w:rPr>
          <w:b w:val="1"/>
          <w:bCs w:val="1"/>
          <w:color w:val="2c5f8a"/>
          <w:sz w:val="40"/>
          <w:szCs w:val="40"/>
          <w:rtl w:val="0"/>
        </w:rPr>
        <w:t>Catching Students Before They Leave</w:t>
      </w:r>
      <w:r w:rsidDel="00000000" w:rsidR="00000000" w:rsidRPr="00000000">
        <w:rPr>
          <w:rtl w:val="0"/>
        </w:rPr>
      </w:r>
    </w:p>
    <w:p w:rsidR="00000000" w:rsidDel="00000000" w:rsidP="00000000" w:rsidRDefault="00000000" w:rsidRPr="00000000" w14:paraId="00000002">
      <w:pPr>
        <w:spacing w:after="200" w:lineRule="auto"/>
        <w:jc w:val="center"/>
        <w:rPr/>
      </w:pPr>
      <w:r w:rsidDel="00000000" w:rsidR="00000000" w:rsidRPr="00000000">
        <w:rPr>
          <w:i w:val="1"/>
          <w:iCs w:val="1"/>
          <w:color w:val="1f2a44"/>
          <w:sz w:val="26"/>
          <w:szCs w:val="26"/>
          <w:rtl w:val="0"/>
        </w:rPr>
        <w:t>Faithful, Stable, and Actionable Explanations of a Tabular Foundation Model for First-Semester Academic Risk</w:t>
      </w:r>
      <w:r w:rsidDel="00000000" w:rsidR="00000000" w:rsidRPr="00000000">
        <w:rPr>
          <w:rtl w:val="0"/>
        </w:rPr>
      </w:r>
    </w:p>
    <w:p w:rsidR="00000000" w:rsidDel="00000000" w:rsidP="00000000" w:rsidRDefault="00000000" w:rsidRPr="00000000" w14:paraId="00000003">
      <w:pPr>
        <w:spacing w:after="200" w:lineRule="auto"/>
        <w:jc w:val="center"/>
        <w:rPr/>
      </w:pPr>
      <w:r w:rsidDel="00000000" w:rsidR="00000000" w:rsidRPr="00000000">
        <w:rPr>
          <w:color w:val="555555"/>
          <w:sz w:val="21"/>
          <w:szCs w:val="21"/>
          <w:rtl w:val="0"/>
        </w:rPr>
        <w:t xml:space="preserve">XDS — Explainable Data Science  |  Group Project Proposal</w:t>
        <w:br w:type="textWrapping"/>
      </w:r>
      <w:r w:rsidDel="00000000" w:rsidR="00000000" w:rsidRPr="00000000">
        <w:rPr>
          <w:rtl w:val="0"/>
        </w:rPr>
      </w:r>
    </w:p>
    <w:p w:rsidR="00000000" w:rsidDel="00000000" w:rsidP="00000000" w:rsidRDefault="00000000" w:rsidRPr="00000000" w14:paraId="00000004">
      <w:pPr>
        <w:spacing w:after="80" w:lineRule="auto"/>
        <w:rPr/>
      </w:pPr>
      <w:r w:rsidDel="00000000" w:rsidR="00000000" w:rsidRPr="00000000">
        <w:rPr>
          <w:rtl w:val="0"/>
        </w:rPr>
        <w:t>Group Members</w:t>
      </w:r>
    </w:p>
    <w:p w:rsidR="00000000" w:rsidDel="00000000" w:rsidP="00000000" w:rsidRDefault="00000000" w:rsidRPr="00000000" w14:paraId="00000005">
      <w:pPr>
        <w:spacing w:after="80" w:lineRule="auto"/>
        <w:rPr/>
      </w:pPr>
      <w:r w:rsidDel="00000000" w:rsidR="00000000" w:rsidRPr="00000000">
        <w:rPr>
          <w:rtl w:val="0"/>
        </w:rPr>
        <w:t>1) Aye Khin Khin Hpone (Yolanda) — 125970</w:t>
      </w:r>
    </w:p>
    <w:p w:rsidR="00000000" w:rsidDel="00000000" w:rsidP="00000000" w:rsidRDefault="00000000" w:rsidRPr="00000000" w14:paraId="00000006">
      <w:pPr>
        <w:spacing w:after="80" w:lineRule="auto"/>
        <w:rPr/>
      </w:pPr>
      <w:r w:rsidDel="00000000" w:rsidR="00000000" w:rsidRPr="00000000">
        <w:rPr>
          <w:rtl w:val="0"/>
        </w:rPr>
        <w:t>2) Nguyen Liem Son (Lucas) — 126729</w:t>
      </w:r>
    </w:p>
    <w:p w:rsidR="00000000" w:rsidDel="00000000" w:rsidP="00000000" w:rsidRDefault="00000000" w:rsidRPr="00000000" w14:paraId="00000007">
      <w:pPr>
        <w:spacing w:after="80" w:lineRule="auto"/>
        <w:rPr/>
      </w:pPr>
      <w:r w:rsidDel="00000000" w:rsidR="00000000" w:rsidRPr="00000000">
        <w:rPr>
          <w:rtl w:val="0"/>
        </w:rPr>
        <w:t>3) Witchayda Theppithuk (Noey) — 127419</w:t>
      </w:r>
      <w:r w:rsidDel="00000000" w:rsidR="00000000" w:rsidRPr="00000000">
        <w:rPr>
          <w:rtl w:val="0"/>
        </w:rPr>
      </w:r>
      <w:r w:rsidDel="00000000" w:rsidR="00000000" w:rsidRPr="00000000">
        <w:rPr>
          <w:rtl w:val="0"/>
        </w:rPr>
      </w:r>
    </w:p>
    <w:p w:rsidR="00000000" w:rsidDel="00000000" w:rsidP="00000000" w:rsidRDefault="00000000" w:rsidRPr="00000000" w14:paraId="00000008">
      <w:pPr>
        <w:spacing w:after="80" w:lineRule="auto"/>
        <w:rPr/>
      </w:pPr>
      <w:r w:rsidDel="00000000" w:rsidR="00000000" w:rsidRPr="00000000">
        <w:rPr>
          <w:rtl w:val="0"/>
        </w:rPr>
        <w:t>4) Han Htoo Zaw — 127305</w:t>
      </w:r>
    </w:p>
    <w:p w:rsidR="00000000" w:rsidDel="00000000" w:rsidP="00000000" w:rsidRDefault="00000000" w:rsidRPr="00000000" w14:paraId="00000009">
      <w:pPr>
        <w:spacing w:after="80" w:lineRule="auto"/>
        <w:rPr/>
      </w:pPr>
      <w:r w:rsidDel="00000000" w:rsidR="00000000" w:rsidRPr="00000000">
        <w:rPr>
          <w:rtl w:val="0"/>
        </w:rPr>
        <w:t>5) Pyae Sone Han — 127366</w:t>
      </w:r>
    </w:p>
    <w:p w:rsidR="00000000" w:rsidDel="00000000" w:rsidP="00000000" w:rsidRDefault="00000000" w:rsidRPr="00000000" w14:paraId="0000000A">
      <w:pPr>
        <w:pStyle w:val="Heading1"/>
        <w:spacing w:after="80" w:before="240" w:lineRule="auto"/>
        <w:rPr/>
      </w:pPr>
      <w:r w:rsidDel="00000000" w:rsidR="00000000" w:rsidRPr="00000000">
        <w:rPr>
          <w:color w:val="2c5f8a"/>
          <w:sz w:val="28"/>
          <w:szCs w:val="28"/>
          <w:rtl w:val="0"/>
        </w:rPr>
        <w:t>1. Introduction, Aim and Research Questions</w:t>
      </w:r>
      <w:r w:rsidDel="00000000" w:rsidR="00000000" w:rsidRPr="00000000">
        <w:rPr>
          <w:rtl w:val="0"/>
        </w:rPr>
      </w:r>
    </w:p>
    <w:p w:rsidR="00000000" w:rsidDel="00000000" w:rsidP="00000000" w:rsidRDefault="00000000" w:rsidRPr="00000000" w14:paraId="0000000B">
      <w:pPr>
        <w:jc w:val="both"/>
        <w:rPr/>
      </w:pPr>
      <w:r w:rsidDel="00000000" w:rsidR="00000000" w:rsidRPr="00000000">
        <w:rPr>
          <w:rtl w:val="0"/>
        </w:rPr>
        <w:t>Early identification of dropout risk can enable timely academic or financial support, but an unreliable explanation can misdirect scarce advising resources or produce unjustified conclusions about a student. This project examines first-year undergraduate dropout risk using structured institutional data and TabICL, a peer-reviewed tabular foundation model (TFM) for in-context learning (Qu et al., 2025). TFMs achieve competitive results on small tabular datasets (Hollmann et al., 2025), but explanation quality is multidimensional and must be evaluated quantitatively and with users, not through anecdotal plots alone (Nauta et al., 2023). The principal contribution is therefore evidence about the reliability and practical value of local explanations. Three questions guide the study: RQ1: does TabICL add predictive value over simpler baselines; RQ2: are its local explanations faithful and stable; RQ3: do they help users anticipate model outputs and identify feasible support actions?</w:t>
      </w:r>
      <w:r w:rsidDel="00000000" w:rsidR="00000000" w:rsidRPr="00000000">
        <w:rPr>
          <w:rtl w:val="0"/>
        </w:rPr>
      </w:r>
      <w:r w:rsidDel="00000000" w:rsidR="00000000" w:rsidRPr="00000000">
        <w:rPr>
          <w:rtl w:val="0"/>
        </w:rPr>
      </w:r>
    </w:p>
    <w:p w:rsidR="00000000" w:rsidDel="00000000" w:rsidP="00000000" w:rsidRDefault="00000000" w:rsidRPr="00000000" w14:paraId="0000000C">
      <w:pPr>
        <w:jc w:val="both"/>
        <w:rPr/>
      </w:pPr>
      <w:sdt>
        <w:sdtPr>
          <w:id w:val="60917386"/>
          <w:tag w:val="goog_rdk_0"/>
        </w:sdtPr>
        <w:sdtContent/>
      </w:sdt>
      <w:r w:rsidDel="00000000" w:rsidR="00000000" w:rsidRPr="00000000">
        <w:rPr>
          <w:rtl w:val="0"/>
        </w:rPr>
        <w:t>All predictive modelling and explanation evaluation use one openly licensed UCI dataset. Short, consented written responses from the human evaluation form the only unstructured component and remain linked to the study cases. No external review corpus or second modelling dataset is included, keeping the prediction task, explanations and human evidence coherently connected.</w:t>
      </w:r>
      <w:r w:rsidDel="00000000" w:rsidR="00000000" w:rsidRPr="00000000">
        <w:rPr/>
      </w:r>
      <w:r w:rsidDel="00000000" w:rsidR="00000000" w:rsidRPr="00000000">
        <w:rPr>
          <w:rtl w:val="0"/>
        </w:rPr>
      </w:r>
    </w:p>
    <w:p w:rsidR="00000000" w:rsidDel="00000000" w:rsidP="00000000" w:rsidRDefault="00000000" w:rsidRPr="00000000" w14:paraId="0000000D">
      <w:pPr>
        <w:pStyle w:val="Heading1"/>
        <w:spacing w:after="80" w:before="240" w:lineRule="auto"/>
        <w:rPr/>
      </w:pPr>
      <w:r w:rsidDel="00000000" w:rsidR="00000000" w:rsidRPr="00000000">
        <w:rPr>
          <w:color w:val="2c5f8a"/>
          <w:sz w:val="28"/>
          <w:szCs w:val="28"/>
          <w:rtl w:val="0"/>
        </w:rPr>
        <w:t>2. Decision Context and Intended User</w:t>
      </w:r>
      <w:r w:rsidDel="00000000" w:rsidR="00000000" w:rsidRPr="00000000">
        <w:rPr>
          <w:rtl w:val="0"/>
        </w:rPr>
      </w:r>
    </w:p>
    <w:p w:rsidR="00000000" w:rsidDel="00000000" w:rsidP="00000000" w:rsidRDefault="00000000" w:rsidRPr="00000000" w14:paraId="0000000E">
      <w:pPr>
        <w:jc w:val="both"/>
        <w:rPr/>
      </w:pPr>
      <w:r w:rsidDel="00000000" w:rsidR="00000000" w:rsidRPr="00000000">
        <w:rPr>
          <w:rtl w:val="0"/>
        </w:rPr>
        <w:t>The explanation is designed for a university student-support officer reviewing currently enrolled first-year students immediately after first-semester results are finalised and before second-semester support decisions. For a student flagged as high risk, the officer decides whether to prioritise that student for an outreach meeting and referral to appropriate academic or financial support. Missing a genuinely at-risk student may prevent timely contact, whereas excessive flagging consumes limited support capacity and can erode trust. The explanation must therefore clarify the model's output without presenting associations as causal diagnoses or recommendations.</w:t>
      </w:r>
    </w:p>
    <w:p w:rsidR="00000000" w:rsidDel="00000000" w:rsidP="00000000" w:rsidRDefault="00000000" w:rsidRPr="00000000" w14:paraId="0000000F">
      <w:pPr>
        <w:pStyle w:val="Heading1"/>
        <w:spacing w:after="80" w:before="240" w:lineRule="auto"/>
        <w:rPr/>
      </w:pPr>
      <w:r w:rsidDel="00000000" w:rsidR="00000000" w:rsidRPr="00000000">
        <w:rPr>
          <w:color w:val="2c5f8a"/>
          <w:sz w:val="28"/>
          <w:szCs w:val="28"/>
          <w:rtl w:val="0"/>
        </w:rPr>
        <w:t>3. Data Sources</w:t>
      </w:r>
      <w:r w:rsidDel="00000000" w:rsidR="00000000" w:rsidRPr="00000000">
        <w:rPr>
          <w:rtl w:val="0"/>
        </w:rPr>
      </w:r>
    </w:p>
    <w:p w:rsidR="00000000" w:rsidDel="00000000" w:rsidP="00000000" w:rsidRDefault="00000000" w:rsidRPr="00000000" w14:paraId="00000010">
      <w:pPr>
        <w:jc w:val="both"/>
        <w:rPr/>
      </w:pPr>
      <w:r w:rsidDel="00000000" w:rsidR="00000000" w:rsidRPr="00000000">
        <w:rPr>
          <w:rtl w:val="0"/>
        </w:rPr>
        <w:t>Primary modelling data. ‘Predict Students’ Dropout and Academic Success’ (Realinho, Vieira Martins, Machado, &amp; Baptista, 2021), UCI Machine Learning Repository dataset 697, is distributed under CC BY 4.0 and documented in a peer-reviewed data paper (Realinho et al., 2022). It contains 4,424 student records and 36 predictors spanning demographic, socio-economic, admission, administrative, academic and macroeconomic information, with labels Dropout, Enrolled and Graduate. The distributed version has no direct identifiers, and exploratory analysis found no missing values or duplicate rows.</w:t>
      </w:r>
    </w:p>
    <w:p w:rsidR="00000000" w:rsidDel="00000000" w:rsidP="00000000" w:rsidRDefault="00000000" w:rsidRPr="00000000" w14:paraId="00000011">
      <w:pPr>
        <w:jc w:val="both"/>
        <w:rPr/>
      </w:pPr>
      <w:r w:rsidDel="00000000" w:rsidR="00000000" w:rsidRPr="00000000">
        <w:rPr>
          <w:rtl w:val="0"/>
        </w:rPr>
        <w:t>Prospective qualitative data. A voluntary convenience sample from the Asian Institute of Technology (AIT) community will provide brief written rationales, suggested support actions and comments on missing information while evaluating pseudonymised UCI cases. These consented, anonymised responses form the project's only unstructured dataset, remain linked only to study case IDs, and are analysed qualitatively for comprehension, actionability and information gaps. No AIT student records will be collected, and responses will not enter the dropout model or be presented as explanations of real outcomes.</w:t>
      </w:r>
      <w:r w:rsidDel="00000000" w:rsidR="00000000" w:rsidRPr="00000000">
        <w:rPr>
          <w:i w:val="1"/>
          <w:iCs w:val="1"/>
          <w:rtl w:val="0"/>
        </w:rPr>
      </w:r>
      <w:r w:rsidDel="00000000" w:rsidR="00000000" w:rsidRPr="00000000">
        <w:rPr>
          <w:rtl w:val="0"/>
        </w:rPr>
      </w:r>
    </w:p>
    <w:p w:rsidR="00000000" w:rsidDel="00000000" w:rsidP="00000000" w:rsidRDefault="00000000" w:rsidRPr="00000000" w14:paraId="00000012">
      <w:pPr>
        <w:pStyle w:val="Heading1"/>
        <w:spacing w:after="80" w:before="240" w:lineRule="auto"/>
        <w:rPr/>
      </w:pPr>
      <w:r w:rsidDel="00000000" w:rsidR="00000000" w:rsidRPr="00000000">
        <w:rPr>
          <w:color w:val="2c5f8a"/>
          <w:sz w:val="28"/>
          <w:szCs w:val="28"/>
          <w:rtl w:val="0"/>
        </w:rPr>
        <w:t>4. Prediction Task and Study Design</w:t>
      </w:r>
      <w:r w:rsidDel="00000000" w:rsidR="00000000" w:rsidRPr="00000000">
        <w:rPr>
          <w:rtl w:val="0"/>
        </w:rPr>
      </w:r>
    </w:p>
    <w:p w:rsidR="00000000" w:rsidDel="00000000" w:rsidP="00000000" w:rsidRDefault="00000000" w:rsidRPr="00000000" w14:paraId="00000013">
      <w:pPr>
        <w:jc w:val="both"/>
        <w:rPr/>
      </w:pPr>
      <w:r w:rsidDel="00000000" w:rsidR="00000000" w:rsidRPr="00000000">
        <w:rPr>
          <w:rtl w:val="0"/>
        </w:rPr>
        <w:t>The primary prediction task is binary: Dropout (1) versus Graduate (0). Enrolled records are excluded as unresolved outcomes rather than confirmed non-dropout cases; this simplifies interpretation but may introduce selection bias and limit applicability to similar unresolved students. A meaningful share of Dropout records (17.3%, versus 3.4% of Graduate records) show no first-semester evaluations, so some labelled dropouts may have left before the decision point rather than after it; this timing ambiguity will be reported as an explicit eligibility limitation. The resulting class distribution will be documented. Subject to time and class support, sensitivity analysis will retain Enrolled as a separate class or group it with non-dropout, while primary conclusions stay tied to the pre-specified binary task.</w:t>
      </w:r>
    </w:p>
    <w:p w:rsidR="00000000" w:rsidDel="00000000" w:rsidP="00000000" w:rsidRDefault="00000000" w:rsidRPr="00000000" w14:paraId="00000014">
      <w:pPr>
        <w:jc w:val="both"/>
        <w:rPr/>
      </w:pPr>
      <w:r w:rsidDel="00000000" w:rsidR="00000000" w:rsidRPr="00000000">
        <w:rPr>
          <w:rtl w:val="0"/>
        </w:rPr>
        <w:t>The prediction time is immediately after first-semester results. Only variables available by then may enter the model: enrolment/admission records, demographic and socio-economic fields, administrative status, macroeconomic indicators, and first-semester outcomes. Second-semester curricular variables are excluded as temporal leakage. First-semester grades and approved units are predictive but already historical, so they are treated as immutable in counterfactual recourse.</w:t>
      </w:r>
    </w:p>
    <w:p w:rsidR="00000000" w:rsidDel="00000000" w:rsidP="00000000" w:rsidRDefault="00000000" w:rsidRPr="00000000" w14:paraId="00000015">
      <w:pPr>
        <w:pStyle w:val="Heading1"/>
        <w:spacing w:after="80" w:before="240" w:lineRule="auto"/>
        <w:rPr/>
      </w:pPr>
      <w:r w:rsidDel="00000000" w:rsidR="00000000" w:rsidRPr="00000000">
        <w:rPr>
          <w:color w:val="2c5f8a"/>
          <w:sz w:val="28"/>
          <w:szCs w:val="28"/>
          <w:rtl w:val="0"/>
        </w:rPr>
        <w:t>5. Proposed Methodology</w:t>
      </w:r>
      <w:r w:rsidDel="00000000" w:rsidR="00000000" w:rsidRPr="00000000">
        <w:rPr>
          <w:rtl w:val="0"/>
        </w:rPr>
      </w:r>
    </w:p>
    <w:p w:rsidR="00000000" w:rsidDel="00000000" w:rsidP="00000000" w:rsidRDefault="00000000" w:rsidRPr="00000000" w14:paraId="00000016">
      <w:pPr>
        <w:pStyle w:val="Heading2"/>
        <w:spacing w:after="40" w:before="160" w:lineRule="auto"/>
        <w:rPr/>
      </w:pPr>
      <w:r w:rsidDel="00000000" w:rsidR="00000000" w:rsidRPr="00000000">
        <w:rPr>
          <w:color w:val="1f2a44"/>
          <w:sz w:val="24"/>
          <w:szCs w:val="24"/>
          <w:rtl w:val="0"/>
        </w:rPr>
        <w:t>5.1  Predictive Modelling and Evaluation</w:t>
      </w:r>
      <w:r w:rsidDel="00000000" w:rsidR="00000000" w:rsidRPr="00000000">
        <w:rPr>
          <w:rtl w:val="0"/>
        </w:rPr>
      </w:r>
    </w:p>
    <w:p w:rsidR="00000000" w:rsidDel="00000000" w:rsidP="00000000" w:rsidRDefault="00000000" w:rsidRPr="00000000" w14:paraId="00000017">
      <w:pPr>
        <w:jc w:val="both"/>
        <w:rPr/>
      </w:pPr>
      <w:r w:rsidDel="00000000" w:rsidR="00000000" w:rsidRPr="00000000">
        <w:rPr>
          <w:rtl w:val="0"/>
        </w:rPr>
        <w:t>A fixed, stratified 70/15/15 train/validation/test split supports identical comparisons. Validation-only assessment froze TabICL 2.2.0 with four estimators: ROC-AUC was 0.952, versus 0.945 for logistic regression and XGBoost and 0.923 for a depth-3 tree, establishing comparability rather than superiority while test data remain untouched. The operating policy ranks each evaluation cohort by predicted risk and flags at most the top 20%, with stable row-order tie-breaking, directly representing limited outreach capacity. On validation this yielded 0.507 dropout recall, 1.000 precision and a 0.199 flag rate; capacity, not an unattainable recall target, defines the policy. An admission-time sensitivity run reduced TabICL ROC-AUC to 0.874 and recall to 0.469, showing predictive value from first-semester information while retaining the eligibility-timing caveat. Final same-test-set evaluation will report balanced accuracy, macro-F1, ROC-AUC, recall, precision, flag rate, Brier score, calibration, confusion matrices and runtime. Marginal complex-model gains will be reported plainly.</w:t>
      </w:r>
    </w:p>
    <w:p w:rsidR="00000000" w:rsidDel="00000000" w:rsidP="00000000" w:rsidRDefault="00000000" w:rsidRPr="00000000" w14:paraId="00000018">
      <w:pPr>
        <w:pStyle w:val="Heading2"/>
        <w:spacing w:after="40" w:before="160" w:lineRule="auto"/>
        <w:rPr/>
      </w:pPr>
      <w:r w:rsidDel="00000000" w:rsidR="00000000" w:rsidRPr="00000000">
        <w:rPr>
          <w:color w:val="1f2a44"/>
          <w:sz w:val="24"/>
          <w:szCs w:val="24"/>
          <w:rtl w:val="0"/>
        </w:rPr>
        <w:t>5.2  Explanation Method and Faithfulness Evaluation</w:t>
      </w:r>
      <w:r w:rsidDel="00000000" w:rsidR="00000000" w:rsidRPr="00000000">
        <w:rPr>
          <w:rtl w:val="0"/>
        </w:rPr>
      </w:r>
    </w:p>
    <w:p w:rsidR="00000000" w:rsidDel="00000000" w:rsidP="00000000" w:rsidRDefault="00000000" w:rsidRPr="00000000" w14:paraId="00000019">
      <w:pPr>
        <w:jc w:val="both"/>
        <w:rPr/>
      </w:pPr>
      <w:r w:rsidDel="00000000" w:rsidR="00000000" w:rsidRPr="00000000">
        <w:rPr>
          <w:rtl w:val="0"/>
        </w:rPr>
        <w:t>As a TFM is not a tree ensemble, TreeSHAP exactness will not be claimed. Model-agnostic permutation SHAP (Lundberg &amp; Lee, 2017) explains dropout probability using 25 training-only background rows and 67 evaluations, frozen after validation runtime checks. Related raw and derived first-semester variables are masked as semantic groups; derived rates and indicators are recomputed to avoid internally inconsistent records. Ranked deletion is compared with 50 random orders using cumulative absolute probability change, so faithful protective and risk-increasing contributions are both credited; the primary statistic is the ranked-minus-random area with case-level uncertainty. Similar curves indicate inadequate fidelity, and masking measures reliance rather than intervention. A validation integration check reconstructed TabICL probabilities within 4.1e-8, while a synthetic additive white-box check recovered known attribution ranks with Spearman correlation 1.0. Repeated grouped permutation importance supplies global reliance, and ALE plots for three validation-selected numerical features examine global effects with less off-manifold risk than PDP under correlation.</w:t>
      </w:r>
    </w:p>
    <w:p w:rsidR="00000000" w:rsidDel="00000000" w:rsidP="00000000" w:rsidRDefault="00000000" w:rsidRPr="00000000" w14:paraId="0000001A">
      <w:pPr>
        <w:pStyle w:val="Heading2"/>
        <w:spacing w:after="40" w:before="160" w:lineRule="auto"/>
        <w:rPr/>
      </w:pPr>
      <w:r w:rsidDel="00000000" w:rsidR="00000000" w:rsidRPr="00000000">
        <w:rPr>
          <w:color w:val="1f2a44"/>
          <w:sz w:val="24"/>
          <w:szCs w:val="24"/>
          <w:rtl w:val="0"/>
        </w:rPr>
        <w:t>5.3  Explanation Stability Evaluation</w:t>
      </w:r>
      <w:r w:rsidDel="00000000" w:rsidR="00000000" w:rsidRPr="00000000">
        <w:rPr>
          <w:rtl w:val="0"/>
        </w:rPr>
      </w:r>
    </w:p>
    <w:p w:rsidR="00000000" w:rsidDel="00000000" w:rsidP="00000000" w:rsidRDefault="00000000" w:rsidRPr="00000000" w14:paraId="0000001B">
      <w:pPr>
        <w:jc w:val="both"/>
        <w:rPr/>
      </w:pPr>
      <w:r w:rsidDel="00000000" w:rsidR="00000000" w:rsidRPr="00000000">
        <w:rPr>
          <w:rtl w:val="0"/>
        </w:rPr>
        <w:t>The stability evaluation uses 20 held-out cases selected in advance across predicted-risk levels. For each case, the model-agnostic explainer runs 10 times, independently varying explainer seed and training-background sample so stochastic and reference-population variation are reported separately. Mean pairwise top-five overlap—the number of shared features divided by five—is primary, with rank correlation secondary. Small valid 1% continuous-feature perturbations provide a third test only where absolute predicted-probability change remains at most 0.01; ranges and categorical validity are preserved. These settings are frozen on validation before test analysis. Persistent instability will be shown in the interface, not concealed through selective reruns (Tiukhova et al., 2024).</w:t>
      </w:r>
    </w:p>
    <w:p w:rsidR="00000000" w:rsidDel="00000000" w:rsidP="00000000" w:rsidRDefault="00000000" w:rsidRPr="00000000" w14:paraId="0000001C">
      <w:pPr>
        <w:pStyle w:val="Heading2"/>
        <w:spacing w:after="40" w:before="160" w:lineRule="auto"/>
        <w:rPr/>
      </w:pPr>
      <w:r w:rsidDel="00000000" w:rsidR="00000000" w:rsidRPr="00000000">
        <w:rPr>
          <w:color w:val="1f2a44"/>
          <w:sz w:val="24"/>
          <w:szCs w:val="24"/>
          <w:rtl w:val="0"/>
        </w:rPr>
        <w:t>5.4  Human Evaluation</w:t>
      </w:r>
      <w:r w:rsidDel="00000000" w:rsidR="00000000" w:rsidRPr="00000000">
        <w:rPr>
          <w:rtl w:val="0"/>
        </w:rPr>
      </w:r>
    </w:p>
    <w:p w:rsidR="00000000" w:rsidDel="00000000" w:rsidP="00000000" w:rsidRDefault="00000000" w:rsidRPr="00000000" w14:paraId="0000001D">
      <w:pPr>
        <w:jc w:val="both"/>
        <w:rPr/>
      </w:pPr>
      <w:r w:rsidDel="00000000" w:rsidR="00000000" w:rsidRPr="00000000">
        <w:rPr>
          <w:rtl w:val="0"/>
        </w:rPr>
        <w:t>Following established forward-simulation evaluation of explanations (Hase &amp; Bansal, 2020), the human study will recruit a voluntary convenience sample from the AIT community, targeting 8–10 participants where recruitment permits and a minimum of 4–5 split evenly between two groups. A lightweight browser-based interface will present the same 10 pseudonymised, held-out UCI profiles in randomised order and record each participant's prediction, confidence, completion time and written responses. The control view shows the profile alone; the explanation view adds feature contributions without revealing the model's output, probability or threshold before submission. Each participant's accuracy across their 10 cases is the primary unit of analysis; group accuracy and completion time will be compared descriptively, and the facilitator will record two or three representative comments made while participants work, alongside the coded written responses (Section 5.7). Unless student-support professionals are recruited, participants are proxies for the intended user, testing comprehensibility rather than professional effectiveness, and no unsupported claim of statistical significance will be made.</w:t>
      </w:r>
    </w:p>
    <w:p w:rsidR="00000000" w:rsidDel="00000000" w:rsidP="00000000" w:rsidRDefault="00000000" w:rsidRPr="00000000" w14:paraId="0000001E">
      <w:pPr>
        <w:pStyle w:val="Heading2"/>
        <w:spacing w:after="40" w:before="160" w:lineRule="auto"/>
        <w:rPr/>
      </w:pPr>
      <w:r w:rsidDel="00000000" w:rsidR="00000000" w:rsidRPr="00000000">
        <w:rPr>
          <w:color w:val="1f2a44"/>
          <w:sz w:val="24"/>
          <w:szCs w:val="24"/>
          <w:rtl w:val="0"/>
        </w:rPr>
        <w:t>5.5  Actionability and Counterfactual Analysis</w:t>
      </w:r>
      <w:r w:rsidDel="00000000" w:rsidR="00000000" w:rsidRPr="00000000">
        <w:rPr>
          <w:rtl w:val="0"/>
        </w:rPr>
      </w:r>
    </w:p>
    <w:p w:rsidR="00000000" w:rsidDel="00000000" w:rsidP="00000000" w:rsidRDefault="00000000" w:rsidRPr="00000000" w14:paraId="0000001F">
      <w:pPr>
        <w:jc w:val="both"/>
        <w:rPr/>
      </w:pPr>
      <w:r w:rsidDel="00000000" w:rsidR="00000000" w:rsidRPr="00000000">
        <w:rPr>
          <w:rtl w:val="0"/>
        </w:rPr>
        <w:t>Before modelling, features are classified by temporal availability and feasibility. Immutable or historical fields include age at enrolment, nationality, prior qualification, first-semester grades and completed units. Potentially changeable conditions, such as resolving outstanding tuition or debt status, are permitted in a counterfactual only when realistic at the decision point, with institution-controlled support distinguished from student-controlled action. The search identifies the smallest feasible change crossing the decision threshold while enforcing valid ranges and dependencies; cases without feasible recourse are reported explicitly. Consistent with Karimi et al. (2021), these outputs describe model behaviour, not causal promises.</w:t>
      </w:r>
    </w:p>
    <w:p w:rsidR="00000000" w:rsidDel="00000000" w:rsidP="00000000" w:rsidRDefault="00000000" w:rsidRPr="00000000" w14:paraId="00000020">
      <w:pPr>
        <w:pStyle w:val="Heading2"/>
        <w:spacing w:after="40" w:before="160" w:lineRule="auto"/>
        <w:rPr/>
      </w:pPr>
      <w:r w:rsidDel="00000000" w:rsidR="00000000" w:rsidRPr="00000000">
        <w:rPr>
          <w:color w:val="1f2a44"/>
          <w:sz w:val="24"/>
          <w:szCs w:val="24"/>
          <w:rtl w:val="0"/>
        </w:rPr>
        <w:t>5.6  System Architecture, Workflow and Expected Outputs</w:t>
      </w:r>
      <w:r w:rsidDel="00000000" w:rsidR="00000000" w:rsidRPr="00000000">
        <w:rPr>
          <w:rtl w:val="0"/>
        </w:rPr>
      </w:r>
    </w:p>
    <w:p w:rsidR="00000000" w:rsidDel="00000000" w:rsidP="00000000" w:rsidRDefault="00000000" w:rsidRPr="00000000" w14:paraId="00000021">
      <w:pPr>
        <w:jc w:val="both"/>
        <w:rPr/>
      </w:pPr>
      <w:r w:rsidDel="00000000" w:rsidR="00000000" w:rsidRPr="00000000">
        <w:rPr>
          <w:rtl w:val="0"/>
        </w:rPr>
        <w:t>The end-to-end workflow produces a frozen comparison of TabICL and its baselines, quantitative explanation evidence, constrained counterfactuals, subgroup diagnostics, human-evaluation findings, a completed model card and reproducible report artefacts. A lightweight browser-based prototype provides two controlled modes: a decision-support demonstration showing the frozen prediction, local explanation, reliability warnings and feasible support options, and a blinded study view that suppresses the answer until the participant responds, loading the same versioned preprocessing and model artefacts used in evaluation as a research demonstration, not a production AIT service.</w:t>
      </w:r>
    </w:p>
    <w:tbl>
      <w:tblPr>
        <w:tblW w:type="auto" w:w="0"/>
        <w:jc w:val="center"/>
        <w:tblLayout w:type="fixed"/>
        <w:tblLook w:firstColumn="1" w:firstRow="1" w:lastColumn="0" w:lastRow="0" w:noHBand="0" w:noVBand="1" w:val="04A0"/>
      </w:tblPr>
      <w:tblGrid>
        <w:gridCol w:w="2664"/>
        <w:gridCol w:w="360"/>
        <w:gridCol w:w="2664"/>
        <w:gridCol w:w="360"/>
        <w:gridCol w:w="2664"/>
      </w:tblGrid>
      <w:tr>
        <w:trPr>
          <w:cantSplit/>
        </w:trPr>
        <w:tc>
          <w:tcPr>
            <w:tcW w:type="dxa" w:w="2664"/>
            <w:vAlign w:val="center"/>
            <w:tcBorders>
              <w:top w:val="single" w:sz="6" w:color="5B9BD5"/>
              <w:left w:val="single" w:sz="6" w:color="5B9BD5"/>
              <w:bottom w:val="single" w:sz="6" w:color="5B9BD5"/>
              <w:right w:val="single" w:sz="6" w:color="5B9BD5"/>
            </w:tcBorders>
            <w:shd w:fill="D9EAF7"/>
          </w:tcPr>
          <w:p>
            <w:pPr>
              <w:keepNext/>
              <w:spacing w:after="0"/>
              <w:jc w:val="center"/>
            </w:pPr>
            <w:r>
              <w:rPr>
                <w:b/>
                <w:color w:val="1F4E79"/>
                <w:sz w:val="14"/>
              </w:rPr>
              <w:t>1. Decision frame</w:t>
              <w:br/>
              <w:t>intended user · decision · timing</w:t>
              <w:br/>
              <w:t>binary target</w:t>
            </w:r>
          </w:p>
        </w:tc>
        <w:tc>
          <w:tcPr>
            <w:tcW w:type="dxa" w:w="360"/>
            <w:vAlign w:val="center"/>
            <w:tcBorders>
              <w:top w:val="nil" w:sz="6" w:color="5B9BD5"/>
              <w:left w:val="nil" w:sz="6" w:color="5B9BD5"/>
              <w:bottom w:val="nil" w:sz="6" w:color="5B9BD5"/>
              <w:right w:val="nil" w:sz="6" w:color="5B9BD5"/>
            </w:tcBorders>
          </w:tcPr>
          <w:p>
            <w:pPr>
              <w:keepNext/>
              <w:spacing w:after="0"/>
              <w:jc w:val="center"/>
            </w:pPr>
            <w:r>
              <w:rPr>
                <w:b w:val="0"/>
                <w:color w:val="1F4E79"/>
                <w:sz w:val="22"/>
              </w:rPr>
              <w:t>→</w:t>
            </w:r>
          </w:p>
        </w:tc>
        <w:tc>
          <w:tcPr>
            <w:tcW w:type="dxa" w:w="2664"/>
            <w:vAlign w:val="center"/>
            <w:tcBorders>
              <w:top w:val="single" w:sz="6" w:color="5B9BD5"/>
              <w:left w:val="single" w:sz="6" w:color="5B9BD5"/>
              <w:bottom w:val="single" w:sz="6" w:color="5B9BD5"/>
              <w:right w:val="single" w:sz="6" w:color="5B9BD5"/>
            </w:tcBorders>
            <w:shd w:fill="D9EAF7"/>
          </w:tcPr>
          <w:p>
            <w:pPr>
              <w:keepNext/>
              <w:spacing w:after="0"/>
              <w:jc w:val="center"/>
            </w:pPr>
            <w:r>
              <w:rPr>
                <w:b/>
                <w:color w:val="1F4E79"/>
                <w:sz w:val="14"/>
              </w:rPr>
              <w:t>2. Data design</w:t>
              <w:br/>
              <w:t>UCI audit · feature windows</w:t>
              <w:br/>
              <w:t>frozen 70/15/15 IDs</w:t>
            </w:r>
          </w:p>
        </w:tc>
        <w:tc>
          <w:tcPr>
            <w:tcW w:type="dxa" w:w="360"/>
            <w:vAlign w:val="center"/>
            <w:tcBorders>
              <w:top w:val="nil" w:sz="6" w:color="5B9BD5"/>
              <w:left w:val="nil" w:sz="6" w:color="5B9BD5"/>
              <w:bottom w:val="nil" w:sz="6" w:color="5B9BD5"/>
              <w:right w:val="nil" w:sz="6" w:color="5B9BD5"/>
            </w:tcBorders>
          </w:tcPr>
          <w:p>
            <w:pPr>
              <w:keepNext/>
              <w:spacing w:after="0"/>
              <w:jc w:val="center"/>
            </w:pPr>
            <w:r>
              <w:rPr>
                <w:b w:val="0"/>
                <w:color w:val="1F4E79"/>
                <w:sz w:val="22"/>
              </w:rPr>
              <w:t>→</w:t>
            </w:r>
          </w:p>
        </w:tc>
        <w:tc>
          <w:tcPr>
            <w:tcW w:type="dxa" w:w="2664"/>
            <w:vAlign w:val="center"/>
            <w:tcBorders>
              <w:top w:val="single" w:sz="6" w:color="5B9BD5"/>
              <w:left w:val="single" w:sz="6" w:color="5B9BD5"/>
              <w:bottom w:val="single" w:sz="6" w:color="5B9BD5"/>
              <w:right w:val="single" w:sz="6" w:color="5B9BD5"/>
            </w:tcBorders>
            <w:shd w:fill="E2F0D9"/>
          </w:tcPr>
          <w:p>
            <w:pPr>
              <w:keepNext/>
              <w:spacing w:after="0"/>
              <w:jc w:val="center"/>
            </w:pPr>
            <w:r>
              <w:rPr>
                <w:b/>
                <w:color w:val="1F4E79"/>
                <w:sz w:val="14"/>
              </w:rPr>
              <w:t>3. Model development</w:t>
              <w:br/>
              <w:t>train-only preparation</w:t>
              <w:br/>
              <w:t>TabICL + three baselines</w:t>
            </w:r>
          </w:p>
        </w:tc>
      </w:tr>
      <w:tr>
        <w:trPr>
          <w:cantSplit/>
        </w:trPr>
        <w:tc>
          <w:tcPr>
            <w:tcW w:type="dxa" w:w="2664"/>
            <w:vAlign w:val="center"/>
            <w:tcBorders>
              <w:top w:val="nil" w:sz="6" w:color="5B9BD5"/>
              <w:left w:val="nil" w:sz="6" w:color="5B9BD5"/>
              <w:bottom w:val="nil" w:sz="6" w:color="5B9BD5"/>
              <w:right w:val="nil" w:sz="6" w:color="5B9BD5"/>
            </w:tcBorders>
          </w:tcPr>
          <w:p>
            <w:pPr>
              <w:keepNext/>
              <w:spacing w:after="0"/>
              <w:jc w:val="center"/>
            </w:pPr>
            <w:r>
              <w:rPr>
                <w:b w:val="0"/>
                <w:color w:val="1F4E79"/>
                <w:sz w:val="22"/>
              </w:rPr>
            </w:r>
          </w:p>
        </w:tc>
        <w:tc>
          <w:tcPr>
            <w:tcW w:type="dxa" w:w="360"/>
            <w:vAlign w:val="center"/>
            <w:tcBorders>
              <w:top w:val="nil" w:sz="6" w:color="5B9BD5"/>
              <w:left w:val="nil" w:sz="6" w:color="5B9BD5"/>
              <w:bottom w:val="nil" w:sz="6" w:color="5B9BD5"/>
              <w:right w:val="nil" w:sz="6" w:color="5B9BD5"/>
            </w:tcBorders>
          </w:tcPr>
          <w:p>
            <w:pPr>
              <w:keepNext/>
              <w:spacing w:after="0"/>
              <w:jc w:val="center"/>
            </w:pPr>
            <w:r>
              <w:rPr>
                <w:b w:val="0"/>
                <w:color w:val="1F4E79"/>
                <w:sz w:val="22"/>
              </w:rPr>
            </w:r>
          </w:p>
        </w:tc>
        <w:tc>
          <w:tcPr>
            <w:tcW w:type="dxa" w:w="2664"/>
            <w:vAlign w:val="center"/>
            <w:tcBorders>
              <w:top w:val="nil" w:sz="6" w:color="5B9BD5"/>
              <w:left w:val="nil" w:sz="6" w:color="5B9BD5"/>
              <w:bottom w:val="nil" w:sz="6" w:color="5B9BD5"/>
              <w:right w:val="nil" w:sz="6" w:color="5B9BD5"/>
            </w:tcBorders>
          </w:tcPr>
          <w:p>
            <w:pPr>
              <w:keepNext/>
              <w:spacing w:after="0"/>
              <w:jc w:val="center"/>
            </w:pPr>
            <w:r>
              <w:rPr>
                <w:b w:val="0"/>
                <w:color w:val="1F4E79"/>
                <w:sz w:val="22"/>
              </w:rPr>
            </w:r>
          </w:p>
        </w:tc>
        <w:tc>
          <w:tcPr>
            <w:tcW w:type="dxa" w:w="360"/>
            <w:vAlign w:val="center"/>
            <w:tcBorders>
              <w:top w:val="nil" w:sz="6" w:color="5B9BD5"/>
              <w:left w:val="nil" w:sz="6" w:color="5B9BD5"/>
              <w:bottom w:val="nil" w:sz="6" w:color="5B9BD5"/>
              <w:right w:val="nil" w:sz="6" w:color="5B9BD5"/>
            </w:tcBorders>
          </w:tcPr>
          <w:p>
            <w:pPr>
              <w:keepNext/>
              <w:spacing w:after="0"/>
              <w:jc w:val="center"/>
            </w:pPr>
            <w:r>
              <w:rPr>
                <w:b w:val="0"/>
                <w:color w:val="1F4E79"/>
                <w:sz w:val="22"/>
              </w:rPr>
            </w:r>
          </w:p>
        </w:tc>
        <w:tc>
          <w:tcPr>
            <w:tcW w:type="dxa" w:w="2664"/>
            <w:vAlign w:val="center"/>
            <w:tcBorders>
              <w:top w:val="nil" w:sz="6" w:color="5B9BD5"/>
              <w:left w:val="nil" w:sz="6" w:color="5B9BD5"/>
              <w:bottom w:val="nil" w:sz="6" w:color="5B9BD5"/>
              <w:right w:val="nil" w:sz="6" w:color="5B9BD5"/>
            </w:tcBorders>
          </w:tcPr>
          <w:p>
            <w:pPr>
              <w:keepNext/>
              <w:spacing w:after="0"/>
              <w:jc w:val="center"/>
            </w:pPr>
            <w:r>
              <w:rPr>
                <w:b w:val="0"/>
                <w:color w:val="1F4E79"/>
                <w:sz w:val="22"/>
              </w:rPr>
              <w:t>↓</w:t>
            </w:r>
          </w:p>
        </w:tc>
      </w:tr>
      <w:tr>
        <w:trPr>
          <w:cantSplit/>
        </w:trPr>
        <w:tc>
          <w:tcPr>
            <w:tcW w:type="dxa" w:w="2664"/>
            <w:vAlign w:val="center"/>
            <w:tcBorders>
              <w:top w:val="single" w:sz="6" w:color="5B9BD5"/>
              <w:left w:val="single" w:sz="6" w:color="5B9BD5"/>
              <w:bottom w:val="single" w:sz="6" w:color="5B9BD5"/>
              <w:right w:val="single" w:sz="6" w:color="5B9BD5"/>
            </w:tcBorders>
            <w:shd w:fill="FCE4D6"/>
          </w:tcPr>
          <w:p>
            <w:pPr>
              <w:keepNext/>
              <w:spacing w:after="0"/>
              <w:jc w:val="center"/>
            </w:pPr>
            <w:r>
              <w:rPr>
                <w:b/>
                <w:color w:val="1F4E79"/>
                <w:sz w:val="14"/>
              </w:rPr>
              <w:t>6. Local explanations</w:t>
              <w:br/>
              <w:t>preselected held-out cases</w:t>
              <w:br/>
              <w:t>model-agnostic SHAP</w:t>
            </w:r>
          </w:p>
        </w:tc>
        <w:tc>
          <w:tcPr>
            <w:tcW w:type="dxa" w:w="360"/>
            <w:vAlign w:val="center"/>
            <w:tcBorders>
              <w:top w:val="nil" w:sz="6" w:color="5B9BD5"/>
              <w:left w:val="nil" w:sz="6" w:color="5B9BD5"/>
              <w:bottom w:val="nil" w:sz="6" w:color="5B9BD5"/>
              <w:right w:val="nil" w:sz="6" w:color="5B9BD5"/>
            </w:tcBorders>
          </w:tcPr>
          <w:p>
            <w:pPr>
              <w:keepNext/>
              <w:spacing w:after="0"/>
              <w:jc w:val="center"/>
            </w:pPr>
            <w:r>
              <w:rPr>
                <w:b w:val="0"/>
                <w:color w:val="1F4E79"/>
                <w:sz w:val="22"/>
              </w:rPr>
              <w:t>←</w:t>
            </w:r>
          </w:p>
        </w:tc>
        <w:tc>
          <w:tcPr>
            <w:tcW w:type="dxa" w:w="2664"/>
            <w:vAlign w:val="center"/>
            <w:tcBorders>
              <w:top w:val="single" w:sz="6" w:color="5B9BD5"/>
              <w:left w:val="single" w:sz="6" w:color="5B9BD5"/>
              <w:bottom w:val="single" w:sz="6" w:color="5B9BD5"/>
              <w:right w:val="single" w:sz="6" w:color="5B9BD5"/>
            </w:tcBorders>
            <w:shd w:fill="E2F0D9"/>
          </w:tcPr>
          <w:p>
            <w:pPr>
              <w:keepNext/>
              <w:spacing w:after="0"/>
              <w:jc w:val="center"/>
            </w:pPr>
            <w:r>
              <w:rPr>
                <w:b/>
                <w:color w:val="1F4E79"/>
                <w:sz w:val="14"/>
              </w:rPr>
              <w:t>5. Final predictive test</w:t>
              <w:br/>
              <w:t>performance · calibration</w:t>
              <w:br/>
              <w:t>runtime · error analysis</w:t>
            </w:r>
          </w:p>
        </w:tc>
        <w:tc>
          <w:tcPr>
            <w:tcW w:type="dxa" w:w="360"/>
            <w:vAlign w:val="center"/>
            <w:tcBorders>
              <w:top w:val="nil" w:sz="6" w:color="5B9BD5"/>
              <w:left w:val="nil" w:sz="6" w:color="5B9BD5"/>
              <w:bottom w:val="nil" w:sz="6" w:color="5B9BD5"/>
              <w:right w:val="nil" w:sz="6" w:color="5B9BD5"/>
            </w:tcBorders>
          </w:tcPr>
          <w:p>
            <w:pPr>
              <w:keepNext/>
              <w:spacing w:after="0"/>
              <w:jc w:val="center"/>
            </w:pPr>
            <w:r>
              <w:rPr>
                <w:b w:val="0"/>
                <w:color w:val="1F4E79"/>
                <w:sz w:val="22"/>
              </w:rPr>
              <w:t>←</w:t>
            </w:r>
          </w:p>
        </w:tc>
        <w:tc>
          <w:tcPr>
            <w:tcW w:type="dxa" w:w="2664"/>
            <w:vAlign w:val="center"/>
            <w:tcBorders>
              <w:top w:val="single" w:sz="6" w:color="5B9BD5"/>
              <w:left w:val="single" w:sz="6" w:color="5B9BD5"/>
              <w:bottom w:val="single" w:sz="6" w:color="5B9BD5"/>
              <w:right w:val="single" w:sz="6" w:color="5B9BD5"/>
            </w:tcBorders>
            <w:shd w:fill="E2F0D9"/>
          </w:tcPr>
          <w:p>
            <w:pPr>
              <w:keepNext/>
              <w:spacing w:after="0"/>
              <w:jc w:val="center"/>
            </w:pPr>
            <w:r>
              <w:rPr>
                <w:b/>
                <w:color w:val="1F4E79"/>
                <w:sz w:val="14"/>
              </w:rPr>
              <w:t>4. Validation freeze</w:t>
              <w:br/>
              <w:t>model · threshold · SHAP budget</w:t>
              <w:br/>
              <w:t>masking/perturbation protocol</w:t>
            </w:r>
          </w:p>
        </w:tc>
      </w:tr>
      <w:tr>
        <w:trPr>
          <w:cantSplit/>
        </w:trPr>
        <w:tc>
          <w:tcPr>
            <w:tcW w:type="dxa" w:w="2664"/>
            <w:vAlign w:val="center"/>
            <w:tcBorders>
              <w:top w:val="nil" w:sz="6" w:color="5B9BD5"/>
              <w:left w:val="nil" w:sz="6" w:color="5B9BD5"/>
              <w:bottom w:val="nil" w:sz="6" w:color="5B9BD5"/>
              <w:right w:val="nil" w:sz="6" w:color="5B9BD5"/>
            </w:tcBorders>
          </w:tcPr>
          <w:p>
            <w:pPr>
              <w:keepNext/>
              <w:spacing w:after="0"/>
              <w:jc w:val="center"/>
            </w:pPr>
            <w:r>
              <w:rPr>
                <w:b w:val="0"/>
                <w:color w:val="1F4E79"/>
                <w:sz w:val="22"/>
              </w:rPr>
              <w:t>↓</w:t>
            </w:r>
          </w:p>
        </w:tc>
        <w:tc>
          <w:tcPr>
            <w:tcW w:type="dxa" w:w="360"/>
            <w:vAlign w:val="center"/>
            <w:tcBorders>
              <w:top w:val="nil" w:sz="6" w:color="5B9BD5"/>
              <w:left w:val="nil" w:sz="6" w:color="5B9BD5"/>
              <w:bottom w:val="nil" w:sz="6" w:color="5B9BD5"/>
              <w:right w:val="nil" w:sz="6" w:color="5B9BD5"/>
            </w:tcBorders>
          </w:tcPr>
          <w:p>
            <w:pPr>
              <w:keepNext/>
              <w:spacing w:after="0"/>
              <w:jc w:val="center"/>
            </w:pPr>
            <w:r>
              <w:rPr>
                <w:b w:val="0"/>
                <w:color w:val="1F4E79"/>
                <w:sz w:val="22"/>
              </w:rPr>
            </w:r>
          </w:p>
        </w:tc>
        <w:tc>
          <w:tcPr>
            <w:tcW w:type="dxa" w:w="2664"/>
            <w:vAlign w:val="center"/>
            <w:tcBorders>
              <w:top w:val="nil" w:sz="6" w:color="5B9BD5"/>
              <w:left w:val="nil" w:sz="6" w:color="5B9BD5"/>
              <w:bottom w:val="nil" w:sz="6" w:color="5B9BD5"/>
              <w:right w:val="nil" w:sz="6" w:color="5B9BD5"/>
            </w:tcBorders>
          </w:tcPr>
          <w:p>
            <w:pPr>
              <w:keepNext/>
              <w:spacing w:after="0"/>
              <w:jc w:val="center"/>
            </w:pPr>
            <w:r>
              <w:rPr>
                <w:b w:val="0"/>
                <w:color w:val="1F4E79"/>
                <w:sz w:val="22"/>
              </w:rPr>
            </w:r>
          </w:p>
        </w:tc>
        <w:tc>
          <w:tcPr>
            <w:tcW w:type="dxa" w:w="360"/>
            <w:vAlign w:val="center"/>
            <w:tcBorders>
              <w:top w:val="nil" w:sz="6" w:color="5B9BD5"/>
              <w:left w:val="nil" w:sz="6" w:color="5B9BD5"/>
              <w:bottom w:val="nil" w:sz="6" w:color="5B9BD5"/>
              <w:right w:val="nil" w:sz="6" w:color="5B9BD5"/>
            </w:tcBorders>
          </w:tcPr>
          <w:p>
            <w:pPr>
              <w:keepNext/>
              <w:spacing w:after="0"/>
              <w:jc w:val="center"/>
            </w:pPr>
            <w:r>
              <w:rPr>
                <w:b w:val="0"/>
                <w:color w:val="1F4E79"/>
                <w:sz w:val="22"/>
              </w:rPr>
            </w:r>
          </w:p>
        </w:tc>
        <w:tc>
          <w:tcPr>
            <w:tcW w:type="dxa" w:w="2664"/>
            <w:vAlign w:val="center"/>
            <w:tcBorders>
              <w:top w:val="nil" w:sz="6" w:color="5B9BD5"/>
              <w:left w:val="nil" w:sz="6" w:color="5B9BD5"/>
              <w:bottom w:val="nil" w:sz="6" w:color="5B9BD5"/>
              <w:right w:val="nil" w:sz="6" w:color="5B9BD5"/>
            </w:tcBorders>
          </w:tcPr>
          <w:p>
            <w:pPr>
              <w:keepNext/>
              <w:spacing w:after="0"/>
              <w:jc w:val="center"/>
            </w:pPr>
            <w:r>
              <w:rPr>
                <w:b w:val="0"/>
                <w:color w:val="1F4E79"/>
                <w:sz w:val="22"/>
              </w:rPr>
            </w:r>
          </w:p>
        </w:tc>
      </w:tr>
      <w:tr>
        <w:trPr>
          <w:cantSplit/>
        </w:trPr>
        <w:tc>
          <w:tcPr>
            <w:tcW w:type="dxa" w:w="2664"/>
            <w:vAlign w:val="center"/>
            <w:tcBorders>
              <w:top w:val="single" w:sz="6" w:color="5B9BD5"/>
              <w:left w:val="single" w:sz="6" w:color="5B9BD5"/>
              <w:bottom w:val="single" w:sz="6" w:color="5B9BD5"/>
              <w:right w:val="single" w:sz="6" w:color="5B9BD5"/>
            </w:tcBorders>
            <w:shd w:fill="FCE4D6"/>
          </w:tcPr>
          <w:p>
            <w:pPr>
              <w:keepNext/>
              <w:spacing w:after="0"/>
              <w:jc w:val="center"/>
            </w:pPr>
            <w:r>
              <w:rPr>
                <w:b/>
                <w:color w:val="1F4E79"/>
                <w:sz w:val="14"/>
              </w:rPr>
              <w:t>7. Explanation evidence</w:t>
              <w:br/>
              <w:t>deletion · 10-run overlap</w:t>
              <w:br/>
              <w:t>perturbation · recourse</w:t>
            </w:r>
          </w:p>
        </w:tc>
        <w:tc>
          <w:tcPr>
            <w:tcW w:type="dxa" w:w="360"/>
            <w:vAlign w:val="center"/>
            <w:tcBorders>
              <w:top w:val="nil" w:sz="6" w:color="5B9BD5"/>
              <w:left w:val="nil" w:sz="6" w:color="5B9BD5"/>
              <w:bottom w:val="nil" w:sz="6" w:color="5B9BD5"/>
              <w:right w:val="nil" w:sz="6" w:color="5B9BD5"/>
            </w:tcBorders>
          </w:tcPr>
          <w:p>
            <w:pPr>
              <w:keepNext/>
              <w:spacing w:after="0"/>
              <w:jc w:val="center"/>
            </w:pPr>
            <w:r>
              <w:rPr>
                <w:b w:val="0"/>
                <w:color w:val="1F4E79"/>
                <w:sz w:val="22"/>
              </w:rPr>
              <w:t>→</w:t>
            </w:r>
          </w:p>
        </w:tc>
        <w:tc>
          <w:tcPr>
            <w:tcW w:type="dxa" w:w="2664"/>
            <w:vAlign w:val="center"/>
            <w:tcBorders>
              <w:top w:val="single" w:sz="6" w:color="5B9BD5"/>
              <w:left w:val="single" w:sz="6" w:color="5B9BD5"/>
              <w:bottom w:val="single" w:sz="6" w:color="5B9BD5"/>
              <w:right w:val="single" w:sz="6" w:color="5B9BD5"/>
            </w:tcBorders>
            <w:shd w:fill="E4DFEC"/>
          </w:tcPr>
          <w:p>
            <w:pPr>
              <w:keepNext/>
              <w:spacing w:after="0"/>
              <w:jc w:val="center"/>
            </w:pPr>
            <w:r>
              <w:rPr>
                <w:b/>
                <w:color w:val="1F4E79"/>
                <w:sz w:val="14"/>
              </w:rPr>
              <w:t>8. Decision-support study</w:t>
              <w:br/>
              <w:t>subgroups/proxies · web prototype</w:t>
              <w:br/>
              <w:t>AIT forward simulation + coding</w:t>
            </w:r>
          </w:p>
        </w:tc>
        <w:tc>
          <w:tcPr>
            <w:tcW w:type="dxa" w:w="360"/>
            <w:vAlign w:val="center"/>
            <w:tcBorders>
              <w:top w:val="nil" w:sz="6" w:color="5B9BD5"/>
              <w:left w:val="nil" w:sz="6" w:color="5B9BD5"/>
              <w:bottom w:val="nil" w:sz="6" w:color="5B9BD5"/>
              <w:right w:val="nil" w:sz="6" w:color="5B9BD5"/>
            </w:tcBorders>
          </w:tcPr>
          <w:p>
            <w:pPr>
              <w:keepNext/>
              <w:spacing w:after="0"/>
              <w:jc w:val="center"/>
            </w:pPr>
            <w:r>
              <w:rPr>
                <w:b w:val="0"/>
                <w:color w:val="1F4E79"/>
                <w:sz w:val="22"/>
              </w:rPr>
              <w:t>→</w:t>
            </w:r>
          </w:p>
        </w:tc>
        <w:tc>
          <w:tcPr>
            <w:tcW w:type="dxa" w:w="2664"/>
            <w:vAlign w:val="center"/>
            <w:tcBorders>
              <w:top w:val="single" w:sz="6" w:color="5B9BD5"/>
              <w:left w:val="single" w:sz="6" w:color="5B9BD5"/>
              <w:bottom w:val="single" w:sz="6" w:color="5B9BD5"/>
              <w:right w:val="single" w:sz="6" w:color="5B9BD5"/>
            </w:tcBorders>
            <w:shd w:fill="E4DFEC"/>
          </w:tcPr>
          <w:p>
            <w:pPr>
              <w:keepNext/>
              <w:spacing w:after="0"/>
              <w:jc w:val="center"/>
            </w:pPr>
            <w:r>
              <w:rPr>
                <w:b/>
                <w:color w:val="1F4E79"/>
                <w:sz w:val="14"/>
              </w:rPr>
              <w:t>9. Reporting package</w:t>
              <w:br/>
              <w:t>model card · limitations</w:t>
              <w:br/>
              <w:t>reproducible report + prototype</w:t>
            </w:r>
          </w:p>
        </w:tc>
      </w:tr>
    </w:tbl>
    <w:p>
      <w:pPr>
        <w:spacing w:after="120"/>
        <w:jc w:val="center"/>
      </w:pPr>
      <w:r>
        <w:rPr>
          <w:i/>
          <w:sz w:val="16"/>
        </w:rPr>
        <w:t>Figure 1. Proposed research workflow. Model, threshold and explanation protocols will be frozen on validation data before the final test evaluation. Ethics, data governance and reproducibility apply throughout.</w:t>
      </w:r>
    </w:p>
    <w:p>
      <w:pPr>
        <w:pStyle w:val="Heading2"/>
      </w:pPr>
      <w:r>
        <w:t>5.7  Qualitative Analysis of Human-Study Responses</w:t>
      </w:r>
    </w:p>
    <w:p>
      <w:pPr/>
      <w:r>
        <w:t>After the prediction task, each participant explains the judgement, proposes a support action, and flags missing information. A pre-defined coding guide groups responses into comprehension, actionability and information-gap categories; two reviewers independently code at least 20% of responses to report raw agreement, then resolve disagreements and report aggregate counts with paraphrased examples. This qualitative analysis complements the forward-simulation results but does not train, validate or explain the dropout model.</w:t>
      </w:r>
    </w:p>
    <w:p w:rsidR="00000000" w:rsidDel="00000000" w:rsidP="00000000" w:rsidRDefault="00000000" w:rsidRPr="00000000" w14:paraId="00000022">
      <w:pPr>
        <w:pStyle w:val="Heading1"/>
        <w:spacing w:after="80" w:before="240" w:lineRule="auto"/>
        <w:rPr/>
      </w:pPr>
      <w:r w:rsidDel="00000000" w:rsidR="00000000" w:rsidRPr="00000000">
        <w:rPr>
          <w:color w:val="2c5f8a"/>
          <w:sz w:val="28"/>
          <w:szCs w:val="28"/>
          <w:rtl w:val="0"/>
        </w:rPr>
        <w:t>6. Ethics, Fairness and Data Governance</w:t>
      </w:r>
      <w:r w:rsidDel="00000000" w:rsidR="00000000" w:rsidRPr="00000000">
        <w:rPr>
          <w:rtl w:val="0"/>
        </w:rPr>
      </w:r>
    </w:p>
    <w:p w:rsidR="00000000" w:rsidDel="00000000" w:rsidP="00000000" w:rsidRDefault="00000000" w:rsidRPr="00000000" w14:paraId="00000023">
      <w:pPr>
        <w:jc w:val="both"/>
        <w:rPr/>
      </w:pPr>
      <w:r w:rsidDel="00000000" w:rsidR="00000000" w:rsidRPr="00000000">
        <w:rPr>
          <w:rtl w:val="0"/>
        </w:rPr>
        <w:t>The UCI dataset is publicly available under CC BY 4.0 with no direct identifiers; its citation and licence will be preserved, the raw file unchanged, and all transformations documented. AIT human-study participation will be voluntary, informed-consent based, and penalty-free to decline or withdraw. No names, AIT identifiers or administrative records will be collected; raw free text stays outside version control, accidental identifiers are removed, and only aggregate or paraphrased findings are reported. Before recruitment, the team will confirm with the course instructor whether institutional approval is required, obtaining it where applicable.</w:t>
      </w:r>
    </w:p>
    <w:p w:rsidR="00000000" w:rsidDel="00000000" w:rsidP="00000000" w:rsidRDefault="00000000" w:rsidRPr="00000000" w14:paraId="00000024">
      <w:pPr>
        <w:jc w:val="both"/>
        <w:rPr/>
      </w:pPr>
      <w:r w:rsidDel="00000000" w:rsidR="00000000" w:rsidRPr="00000000">
        <w:rPr>
          <w:rtl w:val="0"/>
        </w:rPr>
        <w:t>Protected attributes in the UCI data—gender, nationality, age, international status, displaced status and special needs—will be documented explicitly. For groups with at least 30 records, the frozen operating policy will report flag rate, true- and false-positive rates, precision, mean predicted risk and calibration gap. Cramér's V measures categorical association and the correlation ratio measures continuous-feature association with multi-category protected attributes. These descriptive diagnostics are not proof of fairness.</w:t>
      </w:r>
    </w:p>
    <w:p w:rsidR="00000000" w:rsidDel="00000000" w:rsidP="00000000" w:rsidRDefault="00000000" w:rsidRPr="00000000" w14:paraId="00000025">
      <w:pPr>
        <w:jc w:val="both"/>
        <w:rPr/>
      </w:pPr>
      <w:r w:rsidDel="00000000" w:rsidR="00000000" w:rsidRPr="00000000">
        <w:rPr>
          <w:rtl w:val="0"/>
        </w:rPr>
        <w:t>Plausible proxies will also be examined: parental occupation and qualification may encode socio-economic position, course and application mode may reflect demographic sorting, and debtor, tuition-fee and scholarship variables may encode financial disadvantage. Removing a protected attribute does not eliminate correlated proxy information, so influential proxies and limitations will be documented even where they weaken the model's apparent suitability. The system supports outreach prioritisation, not autonomous denial of education or services.</w:t>
      </w:r>
    </w:p>
    <w:p w:rsidR="00000000" w:rsidDel="00000000" w:rsidP="00000000" w:rsidRDefault="00000000" w:rsidRPr="00000000" w14:paraId="00000026">
      <w:pPr>
        <w:pStyle w:val="Heading1"/>
        <w:spacing w:after="80" w:before="240" w:lineRule="auto"/>
        <w:rPr/>
      </w:pPr>
      <w:r w:rsidDel="00000000" w:rsidR="00000000" w:rsidRPr="00000000">
        <w:rPr>
          <w:color w:val="2c5f8a"/>
          <w:sz w:val="28"/>
          <w:szCs w:val="28"/>
          <w:rtl w:val="0"/>
        </w:rPr>
        <w:t>7. Feasibility and Model Complexity</w:t>
      </w:r>
      <w:r w:rsidDel="00000000" w:rsidR="00000000" w:rsidRPr="00000000">
        <w:rPr>
          <w:rtl w:val="0"/>
        </w:rPr>
      </w:r>
    </w:p>
    <w:p w:rsidR="00000000" w:rsidDel="00000000" w:rsidP="00000000" w:rsidRDefault="00000000" w:rsidRPr="00000000" w14:paraId="00000027">
      <w:pPr>
        <w:jc w:val="both"/>
        <w:rPr/>
      </w:pPr>
      <w:r w:rsidDel="00000000" w:rsidR="00000000" w:rsidRPr="00000000">
        <w:rPr>
          <w:rtl w:val="0"/>
        </w:rPr>
        <w:t>The main model is a tabular foundation model combining learned representations with in-context information from a reference set. It fails simulatability and decomposability: its reasoning cannot be recovered from a coefficient list or a small tree, which motivates the post-hoc protocol in Section 5.2. Library and version, reference-set size, feature count, inference configuration, runtime and hardware will be reported. Logistic regression and the depth-3 tree remain simulatable comparisons, and complexity counts as valuable only if supported by same-test-set performance or explanation-study insights.</w:t>
      </w:r>
    </w:p>
    <w:p w:rsidR="00000000" w:rsidDel="00000000" w:rsidP="00000000" w:rsidRDefault="00000000" w:rsidRPr="00000000" w14:paraId="00000028">
      <w:pPr>
        <w:pStyle w:val="Heading1"/>
        <w:spacing w:after="80" w:before="240" w:lineRule="auto"/>
        <w:rPr/>
      </w:pPr>
      <w:r w:rsidDel="00000000" w:rsidR="00000000" w:rsidRPr="00000000">
        <w:rPr>
          <w:color w:val="2c5f8a"/>
          <w:sz w:val="28"/>
          <w:szCs w:val="28"/>
          <w:rtl w:val="0"/>
        </w:rPr>
        <w:t>8. Reproducibility and Documentation</w:t>
      </w:r>
      <w:r w:rsidDel="00000000" w:rsidR="00000000" w:rsidRPr="00000000">
        <w:rPr>
          <w:rtl w:val="0"/>
        </w:rPr>
      </w:r>
    </w:p>
    <w:p w:rsidR="00000000" w:rsidDel="00000000" w:rsidP="00000000" w:rsidRDefault="00000000" w:rsidRPr="00000000" w14:paraId="00000029">
      <w:pPr>
        <w:jc w:val="both"/>
        <w:rPr/>
      </w:pPr>
      <w:r w:rsidDel="00000000" w:rsidR="00000000" w:rsidRPr="00000000">
        <w:rPr>
          <w:rtl w:val="0"/>
        </w:rPr>
        <w:t>The repository separates untouched source data, EDA, modelling code, explanation evaluation, study materials, tables and figures. A pinned core environment and validation commands support a fresh repository clone. Seed 42 and source-row identifiers define the split; the frozen protocol, 18 in-scope tests, capacity metrics, TabICL/SHAP integration check, grouped importance, ALE and subgroup audits are implemented. Before final submission, one command will regenerate all report artefacts and a separate command will launch the prototype from frozen artefacts. The model card will record intended use, data, final metrics, explanation evidence, subgroup results and limitations.</w:t>
      </w:r>
    </w:p>
    <w:p w:rsidR="00000000" w:rsidDel="00000000" w:rsidP="00000000" w:rsidRDefault="00000000" w:rsidRPr="00000000" w14:paraId="0000003E">
      <w:pPr>
        <w:spacing w:after="40" w:lineRule="auto"/>
        <w:rPr/>
      </w:pPr>
      <w:r w:rsidDel="00000000" w:rsidR="00000000" w:rsidRPr="00000000">
        <w:rPr>
          <w:rtl w:val="0"/>
        </w:rPr>
      </w:r>
    </w:p>
    <w:p w:rsidR="00000000" w:rsidDel="00000000" w:rsidP="00000000" w:rsidRDefault="00000000" w:rsidRPr="00000000" w14:paraId="0000003F">
      <w:pPr>
        <w:pStyle w:val="Heading1"/>
        <w:spacing w:after="80" w:before="240" w:lineRule="auto"/>
        <w:rPr/>
      </w:pPr>
      <w:r w:rsidDel="00000000" w:rsidR="00000000" w:rsidRPr="00000000">
        <w:rPr>
          <w:color w:val="2c5f8a"/>
          <w:sz w:val="28"/>
          <w:szCs w:val="28"/>
          <w:rtl w:val="0"/>
        </w:rPr>
        <w:t>9. Expected Contribution, Limitations and Contingencies</w:t>
      </w:r>
      <w:r w:rsidDel="00000000" w:rsidR="00000000" w:rsidRPr="00000000">
        <w:rPr>
          <w:rtl w:val="0"/>
        </w:rPr>
      </w:r>
    </w:p>
    <w:p w:rsidR="00000000" w:rsidDel="00000000" w:rsidP="00000000" w:rsidRDefault="00000000" w:rsidRPr="00000000" w14:paraId="00000040">
      <w:pPr>
        <w:jc w:val="both"/>
        <w:rPr/>
      </w:pPr>
      <w:r w:rsidDel="00000000" w:rsidR="00000000" w:rsidRPr="00000000">
        <w:rPr>
          <w:rtl w:val="0"/>
        </w:rPr>
        <w:t>The proposed contribution extends beyond an accuracy-focused application of the UCI dataset, assessing whether a tabular foundation model's local explanations merit trust in an early-warning setting. Same-test-set baselines, deletion faithfulness, repeated-run and perturbation stability, human forward simulation, qualitative response evidence and feasibility-constrained counterfactuals form a coherent evaluation framework. Limitations include the single-institution UCI context, exclusion of unresolved Enrolled outcomes, approximate model-agnostic attribution, non-causal observational data, a small convenience sample, and likely non-professional participants as target-audience proxies; therefore, the AIT study will test explanation comprehensibility rather than validate predictive performance or deployment suitability at AIT. If explanation runtime requires a smaller background or evaluation budget, that will be fixed on validation data; if recruitment reaches only the minimum planned sample, the study stays descriptive. Findings remain valuable even if TabICL underperforms a simple baseline, explanations prove unstable or unfaithful, participants gain no benefit, or feasible recourse is unavailable.</w:t>
      </w:r>
    </w:p>
    <w:p>
      <w:r>
        <w:rPr>
          <w:sz w:val="20"/>
        </w:rPr>
        <w:t>Code and data availability. The versioned project repository will be released at https://github.com/TheInterpreters/Proposal_EDA with code, tests, non-sensitive tables and reproduction commands; raw human free text will remain excluded.</w:t>
      </w:r>
    </w:p>
    <w:p w:rsidR="00000000" w:rsidDel="00000000" w:rsidP="00000000" w:rsidRDefault="00000000" w:rsidRPr="00000000" w14:paraId="00000041">
      <w:pPr>
        <w:pStyle w:val="Heading1"/>
        <w:spacing w:after="80" w:before="240" w:lineRule="auto"/>
        <w:rPr/>
      </w:pPr>
      <w:r w:rsidDel="00000000" w:rsidR="00000000" w:rsidRPr="00000000">
        <w:rPr>
          <w:color w:val="2c5f8a"/>
          <w:sz w:val="28"/>
          <w:szCs w:val="28"/>
          <w:rtl w:val="0"/>
        </w:rPr>
        <w:t xml:space="preserve">References</w:t>
      </w:r>
      <w:r w:rsidDel="00000000" w:rsidR="00000000" w:rsidRPr="00000000">
        <w:rPr>
          <w:rtl w:val="0"/>
        </w:rPr>
      </w:r>
    </w:p>
    <w:p w:rsidR="00000000" w:rsidDel="00000000" w:rsidP="00000000" w:rsidRDefault="00000000" w:rsidRPr="00000000" w14:paraId="00000042">
      <w:pPr>
        <w:jc w:val="left"/>
        <w:rPr/>
      </w:pPr>
      <w:r w:rsidDel="00000000" w:rsidR="00000000" w:rsidRPr="00000000">
        <w:rPr>
          <w:rtl w:val="0"/>
        </w:rPr>
        <w:t>Realinho, V., Vieira Martins, M., Machado, J., &amp; Baptista, L. (2021). Predict Students’ Dropout and Academic Success [Dataset]. UCI Machine Learning Repository. https://doi.org/10.24432/C5MC89</w:t>
        <w:br/>
        <w:t>Realinho, V., Machado, J., Baptista, L., &amp; Martins, M. V. (2022). Predicting student dropout and academic success. Data, 7(11), 146. https://doi.org/10.3390/data7110146</w:t>
        <w:br/>
        <w:t>Hollmann, N., Müller, S., Purucker, L., Krishnakumar, A., Körfer, M., Hoo, S. B., Schirrmeister, R. T., &amp; Hutter, F. (2025). Accurate predictions on small data with a tabular foundation model. Nature, 637, 319–326. https://doi.org/10.1038/s41586-024-08328-6</w:t>
        <w:br/>
        <w:t>Qu, J., Holzmüller, D., Varoquaux, G., &amp; Le Morvan, M. (2025). TabICL: A tabular foundation model for in-context learning on large data. Proceedings of the 42nd International Conference on Machine Learning, PMLR 267, 50817–50847. https://proceedings.mlr.press/v267/qu25d.html</w:t>
        <w:br/>
        <w:t>Lundberg, S. M., &amp; Lee, S.-I. (2017). A unified approach to interpreting model predictions. Advances in Neural Information Processing Systems, 30, 4765–4774. https://proceedings.neurips.cc/paper/2017/hash/8a20a8621978632d76c43dfd28b67767-Abstract.html</w:t>
        <w:br/>
        <w:t>Nauta, M., Trienes, J., Pathak, S., Nguyen, E., Peters, M., Schmitt, Y., Schlötterer, J., van Keulen, M., &amp; Seifert, C. (2023). From anecdotal evidence to quantitative evaluation methods: A systematic review on evaluating explainable AI. ACM Computing Surveys, 55(13s), Article 295. https://doi.org/10.1145/3583558</w:t>
        <w:br/>
        <w:t>Hase, P., &amp; Bansal, M. (2020). Evaluating explainable AI: Which algorithmic explanations help users predict model behavior? Proceedings of the 58th Annual Meeting of the Association for Computational Linguistics, 5540–5552. https://doi.org/10.18653/v1/2020.acl-main.491</w:t>
        <w:br/>
        <w:t>Karimi, A.-H., Schölkopf, B., &amp; Valera, I. (2021). Algorithmic recourse: From counterfactual explanations to interventions. Proceedings of the 2021 ACM Conference on Fairness, Accountability, and Transparency, 353–362. https://doi.org/10.1145/3442188.3445899</w:t>
        <w:br/>
        <w:t>Tiukhova, E., Vemuri, P., López Flores, N., Islind, A. S., Óskarsdóttir, M., Poelmans, S., Baesens, B., &amp; Snoeck, M. (2024). Explainable learning analytics: Assessing the stability of student success prediction models by means of explainable AI. Decision Support Systems, 182, 114229. https://doi.org/10.1016/j.dss.2024.114229</w:t>
      </w:r>
    </w:p>
    <w:sectPr>
      <w:pgSz w:h="15840" w:w="12240" w:orient="portrait"/>
      <w:pgMar w:bottom="1008" w:top="1008"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2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after="80" w:line="240" w:lineRule="auto"/>
    </w:pPr>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s>
</file>

<file path=word/_rels/document.xml.rels><?xml version='1.0' encoding='utf-8'?>
<ns0:Relationships xmlns:ns0="http://schemas.openxmlformats.org/package/2006/relationships"><ns0:Relationship Id="rId1" Type="http://schemas.openxmlformats.org/officeDocument/2006/relationships/theme" Target="theme/theme1.xml" /><ns0:Relationship Id="rId3" Type="http://schemas.openxmlformats.org/officeDocument/2006/relationships/settings" Target="settings.xml" /><ns0:Relationship Id="rId4" Type="http://schemas.openxmlformats.org/officeDocument/2006/relationships/fontTable" Target="fontTable.xml" /><ns0:Relationship Id="rId5" Type="http://schemas.openxmlformats.org/officeDocument/2006/relationships/numbering" Target="numbering.xml" /><ns0:Relationship Id="rId6" Type="http://schemas.openxmlformats.org/officeDocument/2006/relationships/styles" Target="styles.xml" /></ns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title>Catching Students Before They Leave</dc:title>
  <dc:subject>Updated XDS group project proposal: UCI tabular foundation model and explanation evaluation</dc:subject>
  <dcterms:modified xsi:type="dcterms:W3CDTF">2026-09-17T09:39:17Z</dcterms:modified>
</cp:coreProperties>
</file>