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A6E4" w14:textId="77777777" w:rsidR="00444B17" w:rsidRDefault="00444B17" w:rsidP="00164273">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60960FA" w14:textId="77777777" w:rsidR="00444B17" w:rsidRPr="00736E2C" w:rsidRDefault="00444B17" w:rsidP="00164273">
      <w:pPr>
        <w:spacing w:after="40"/>
        <w:jc w:val="center"/>
        <w:rPr>
          <w:b/>
          <w:sz w:val="32"/>
          <w:szCs w:val="32"/>
        </w:rPr>
      </w:pPr>
      <w:r w:rsidRPr="00736E2C">
        <w:rPr>
          <w:rFonts w:ascii="Times New Roman" w:eastAsia="Times New Roman" w:hAnsi="Times New Roman"/>
          <w:b/>
          <w:sz w:val="32"/>
          <w:szCs w:val="32"/>
        </w:rPr>
        <w:t>Black-Box and Interpretable Models</w:t>
      </w:r>
    </w:p>
    <w:p w14:paraId="60DA433D" w14:textId="77777777" w:rsidR="00444B17" w:rsidRDefault="00444B17" w:rsidP="00164273">
      <w:pPr>
        <w:spacing w:after="80"/>
        <w:jc w:val="both"/>
        <w:rPr>
          <w:rFonts w:ascii="Times New Roman" w:eastAsia="Times New Roman" w:hAnsi="Times New Roman"/>
          <w:i/>
          <w:iCs/>
          <w:sz w:val="20"/>
          <w:szCs w:val="20"/>
        </w:rPr>
      </w:pPr>
    </w:p>
    <w:p w14:paraId="30527512" w14:textId="77777777" w:rsidR="00444B17" w:rsidRPr="00736E2C" w:rsidRDefault="00444B17" w:rsidP="00164273">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w:t>
      </w:r>
      <w:proofErr w:type="spellStart"/>
      <w:r w:rsidRPr="00736E2C">
        <w:rPr>
          <w:rFonts w:ascii="Times New Roman" w:eastAsia="Times New Roman" w:hAnsi="Times New Roman"/>
          <w:sz w:val="20"/>
          <w:szCs w:val="20"/>
        </w:rPr>
        <w:t>Khin</w:t>
      </w:r>
      <w:proofErr w:type="spellEnd"/>
      <w:r w:rsidRPr="00736E2C">
        <w:rPr>
          <w:rFonts w:ascii="Times New Roman" w:eastAsia="Times New Roman" w:hAnsi="Times New Roman"/>
          <w:sz w:val="20"/>
          <w:szCs w:val="20"/>
        </w:rPr>
        <w:t xml:space="preserve"> Hpone (Yolanda) </w:t>
      </w:r>
      <w:proofErr w:type="gramStart"/>
      <w:r w:rsidRPr="00736E2C">
        <w:rPr>
          <w:rFonts w:ascii="Times New Roman" w:eastAsia="Times New Roman" w:hAnsi="Times New Roman"/>
          <w:sz w:val="20"/>
          <w:szCs w:val="20"/>
        </w:rPr>
        <w:t xml:space="preserve">125970;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Nguyen</w:t>
      </w:r>
      <w:proofErr w:type="gramEnd"/>
      <w:r w:rsidRPr="00736E2C">
        <w:rPr>
          <w:rFonts w:ascii="Times New Roman" w:eastAsia="Times New Roman" w:hAnsi="Times New Roman"/>
          <w:sz w:val="20"/>
          <w:szCs w:val="20"/>
        </w:rPr>
        <w:t xml:space="preserve"> Liem Son (Lucas) 126729;</w:t>
      </w:r>
    </w:p>
    <w:p w14:paraId="6661FB51" w14:textId="77777777" w:rsidR="00444B17" w:rsidRPr="00736E2C" w:rsidRDefault="00444B17" w:rsidP="00164273">
      <w:pPr>
        <w:spacing w:after="80"/>
        <w:jc w:val="center"/>
        <w:rPr>
          <w:rFonts w:ascii="Times New Roman" w:eastAsia="Times New Roman" w:hAnsi="Times New Roman"/>
          <w:sz w:val="20"/>
          <w:szCs w:val="20"/>
        </w:rPr>
      </w:pPr>
      <w:proofErr w:type="spellStart"/>
      <w:r w:rsidRPr="00736E2C">
        <w:rPr>
          <w:rFonts w:ascii="Times New Roman" w:eastAsia="Times New Roman" w:hAnsi="Times New Roman"/>
          <w:sz w:val="20"/>
          <w:szCs w:val="20"/>
        </w:rPr>
        <w:t>Witchayda</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Theppithuk</w:t>
      </w:r>
      <w:proofErr w:type="spellEnd"/>
      <w:r w:rsidRPr="00736E2C">
        <w:rPr>
          <w:rFonts w:ascii="Times New Roman" w:eastAsia="Times New Roman" w:hAnsi="Times New Roman"/>
          <w:sz w:val="20"/>
          <w:szCs w:val="20"/>
        </w:rPr>
        <w:t xml:space="preserve"> (Noey) </w:t>
      </w:r>
      <w:proofErr w:type="gramStart"/>
      <w:r w:rsidRPr="00736E2C">
        <w:rPr>
          <w:rFonts w:ascii="Times New Roman" w:eastAsia="Times New Roman" w:hAnsi="Times New Roman"/>
          <w:sz w:val="20"/>
          <w:szCs w:val="20"/>
        </w:rPr>
        <w:t xml:space="preserve">127419;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Han</w:t>
      </w:r>
      <w:proofErr w:type="gramEnd"/>
      <w:r w:rsidRPr="00736E2C">
        <w:rPr>
          <w:rFonts w:ascii="Times New Roman" w:eastAsia="Times New Roman" w:hAnsi="Times New Roman"/>
          <w:sz w:val="20"/>
          <w:szCs w:val="20"/>
        </w:rPr>
        <w:t xml:space="preserve"> Htoo Zaw </w:t>
      </w:r>
      <w:proofErr w:type="gramStart"/>
      <w:r w:rsidRPr="00736E2C">
        <w:rPr>
          <w:rFonts w:ascii="Times New Roman" w:eastAsia="Times New Roman" w:hAnsi="Times New Roman"/>
          <w:sz w:val="20"/>
          <w:szCs w:val="20"/>
        </w:rPr>
        <w:t xml:space="preserve">127305;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Pyae</w:t>
      </w:r>
      <w:proofErr w:type="gramEnd"/>
      <w:r w:rsidRPr="00736E2C">
        <w:rPr>
          <w:rFonts w:ascii="Times New Roman" w:eastAsia="Times New Roman" w:hAnsi="Times New Roman"/>
          <w:sz w:val="20"/>
          <w:szCs w:val="20"/>
        </w:rPr>
        <w:t xml:space="preserve"> Sone Han 127366.</w:t>
      </w:r>
    </w:p>
    <w:p w14:paraId="0947A5E7" w14:textId="1CB43476" w:rsidR="00164273" w:rsidRPr="00164273" w:rsidRDefault="00C12AC8" w:rsidP="00164273">
      <w:pPr>
        <w:pStyle w:val="Heading1"/>
        <w:spacing w:before="240" w:after="80"/>
        <w:rPr>
          <w:sz w:val="22"/>
          <w:szCs w:val="22"/>
        </w:rPr>
      </w:pPr>
      <w:r w:rsidRPr="00444B17">
        <w:rPr>
          <w:rFonts w:ascii="Times New Roman" w:eastAsia="Times New Roman" w:hAnsi="Times New Roman"/>
          <w:color w:val="2C5F8A"/>
          <w:sz w:val="22"/>
          <w:szCs w:val="22"/>
        </w:rPr>
        <w:t>1. Introduction, Aim and Research Questions</w:t>
      </w:r>
    </w:p>
    <w:p w14:paraId="13D4B364" w14:textId="484D466B"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data from the UCI Predict Students' Dropout and Academic Success dataset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RQ1: does TabICL add predictive value over simpler baselines; RQ2: are its local explanations faithful and stable; RQ3: do they help users anticipate model outputs and identify feasible support actions? Real-data model results, explanation audits and human-study findings will be reported separately, and explanations will be presented as descriptions of model associations, not as causes of dropout.</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p>
    <w:p w14:paraId="3C78AB86" w14:textId="77777777" w:rsidR="00164273" w:rsidRPr="00444B17" w:rsidRDefault="00164273" w:rsidP="00164273">
      <w:pPr>
        <w:jc w:val="both"/>
        <w:rPr>
          <w:sz w:val="20"/>
          <w:szCs w:val="20"/>
        </w:rPr>
      </w:pPr>
    </w:p>
    <w:p w14:paraId="61F2B18F" w14:textId="3E9B32FC" w:rsidR="00A04479" w:rsidRPr="00444B17" w:rsidRDefault="00000000" w:rsidP="00164273">
      <w:pPr>
        <w:jc w:val="both"/>
        <w:rPr>
          <w:sz w:val="20"/>
          <w:szCs w:val="20"/>
        </w:rPr>
      </w:pPr>
      <w:sdt>
        <w:sdtPr>
          <w:rPr>
            <w:sz w:val="20"/>
            <w:szCs w:val="20"/>
          </w:rPr>
          <w:tag w:val="goog_rdk_0"/>
          <w:id w:val="60917386"/>
          <w:showingPlcHdr/>
        </w:sdtPr>
        <w:sdtContent>
          <w:r w:rsidR="00164273">
            <w:rPr>
              <w:sz w:val="20"/>
              <w:szCs w:val="20"/>
            </w:rPr>
            <w:t xml:space="preserve">     </w:t>
          </w:r>
        </w:sdtContent>
      </w:sdt>
      <w:r w:rsidR="00C12AC8" w:rsidRPr="00444B17">
        <w:rPr>
          <w:rFonts w:ascii="Times New Roman" w:eastAsia="Times New Roman" w:hAnsi="Times New Roman"/>
          <w:sz w:val="20"/>
          <w:szCs w:val="20"/>
        </w:rPr>
        <w:t>All predictive modelling and explanation evaluation will use one openly licensed UCI dataset. Short, consented written responses from the human evaluation will form the only unstructured component and will remain linked to the study cases, keeping the prediction task, explanations and human evidence coherently connected.</w:t>
      </w:r>
    </w:p>
    <w:p w14:paraId="1EA8F435" w14:textId="52AD57F0" w:rsidR="00362165" w:rsidRPr="00362165" w:rsidRDefault="00C12AC8" w:rsidP="00362165">
      <w:pPr>
        <w:pStyle w:val="Heading1"/>
        <w:spacing w:before="240" w:after="80"/>
        <w:jc w:val="both"/>
        <w:rPr>
          <w:sz w:val="22"/>
          <w:szCs w:val="22"/>
        </w:rPr>
      </w:pPr>
      <w:r w:rsidRPr="00444B17">
        <w:rPr>
          <w:rFonts w:ascii="Times New Roman" w:eastAsia="Times New Roman" w:hAnsi="Times New Roman"/>
          <w:color w:val="2C5F8A"/>
          <w:sz w:val="22"/>
          <w:szCs w:val="22"/>
        </w:rPr>
        <w:t>2. Decision Context and Intended User</w:t>
      </w:r>
    </w:p>
    <w:p w14:paraId="30CD3645" w14:textId="65022742"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intended decision context is a university student-support officer considering currently enrolled first-year students immediately after first-semester results are </w:t>
      </w:r>
      <w:proofErr w:type="spellStart"/>
      <w:r w:rsidRPr="00444B17">
        <w:rPr>
          <w:rFonts w:ascii="Times New Roman" w:eastAsia="Times New Roman" w:hAnsi="Times New Roman"/>
          <w:sz w:val="20"/>
          <w:szCs w:val="20"/>
        </w:rPr>
        <w:t>finalised</w:t>
      </w:r>
      <w:proofErr w:type="spellEnd"/>
      <w:r w:rsidRPr="00444B17">
        <w:rPr>
          <w:rFonts w:ascii="Times New Roman" w:eastAsia="Times New Roman" w:hAnsi="Times New Roman"/>
          <w:sz w:val="20"/>
          <w:szCs w:val="20"/>
        </w:rPr>
        <w:t xml:space="preserve"> and before second-semester support decisions; this project will simulate th</w:t>
      </w:r>
      <w:r w:rsidR="00444B17">
        <w:rPr>
          <w:rFonts w:ascii="Times New Roman" w:eastAsia="Times New Roman" w:hAnsi="Times New Roman"/>
          <w:sz w:val="20"/>
          <w:szCs w:val="20"/>
        </w:rPr>
        <w:t>e</w:t>
      </w:r>
      <w:r w:rsidR="002339CF">
        <w:rPr>
          <w:rFonts w:ascii="Times New Roman" w:eastAsia="Times New Roman" w:hAnsi="Times New Roman"/>
          <w:sz w:val="20"/>
          <w:szCs w:val="20"/>
        </w:rPr>
        <w:t xml:space="preserve"> described</w:t>
      </w:r>
      <w:r w:rsidRPr="00444B17">
        <w:rPr>
          <w:rFonts w:ascii="Times New Roman" w:eastAsia="Times New Roman" w:hAnsi="Times New Roman"/>
          <w:sz w:val="20"/>
          <w:szCs w:val="20"/>
        </w:rPr>
        <w:t xml:space="preserve"> context using historical,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For a student flagged as high risk, the officer would decide whether to </w:t>
      </w:r>
      <w:proofErr w:type="spellStart"/>
      <w:r w:rsidRPr="00444B17">
        <w:rPr>
          <w:rFonts w:ascii="Times New Roman" w:eastAsia="Times New Roman" w:hAnsi="Times New Roman"/>
          <w:sz w:val="20"/>
          <w:szCs w:val="20"/>
        </w:rPr>
        <w:t>prioritise</w:t>
      </w:r>
      <w:proofErr w:type="spellEnd"/>
      <w:r w:rsidRPr="00444B17">
        <w:rPr>
          <w:rFonts w:ascii="Times New Roman" w:eastAsia="Times New Roman" w:hAnsi="Times New Roman"/>
          <w:sz w:val="20"/>
          <w:szCs w:val="20"/>
        </w:rPr>
        <w:t xml:space="preserv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BA7CF6E"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3. Data Sources</w:t>
      </w:r>
    </w:p>
    <w:p w14:paraId="7FCD8B0B" w14:textId="77777777" w:rsidR="00A04479" w:rsidRPr="00444B17" w:rsidRDefault="00C12AC8" w:rsidP="00164273">
      <w:pPr>
        <w:jc w:val="both"/>
        <w:rPr>
          <w:sz w:val="20"/>
          <w:szCs w:val="20"/>
        </w:rPr>
      </w:pPr>
      <w:r w:rsidRPr="00444B17">
        <w:rPr>
          <w:rFonts w:ascii="Times New Roman" w:eastAsia="Times New Roman" w:hAnsi="Times New Roman"/>
          <w:b/>
          <w:bCs/>
          <w:sz w:val="20"/>
          <w:szCs w:val="20"/>
        </w:rPr>
        <w:t>Primary modelling data.</w:t>
      </w:r>
      <w:r w:rsidRPr="00444B17">
        <w:rPr>
          <w:rFonts w:ascii="Times New Roman" w:eastAsia="Times New Roman" w:hAnsi="Times New Roman"/>
          <w:sz w:val="20"/>
          <w:szCs w:val="20"/>
        </w:rPr>
        <w:t xml:space="preserve"> ‘Predict Students’ Dropout and Academic Success’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Vieira Martins, Machado, &amp; Baptista, 2021), UCI Machine Learning Repository dataset 697, is distributed under CC BY 4.0 and documented in a peer-reviewed data paper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xml:space="preserve">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14:paraId="0AEFAE82" w14:textId="77777777" w:rsidR="00362165" w:rsidRDefault="00362165" w:rsidP="00164273">
      <w:pPr>
        <w:jc w:val="both"/>
        <w:rPr>
          <w:rFonts w:ascii="Times New Roman" w:eastAsia="Times New Roman" w:hAnsi="Times New Roman"/>
          <w:b/>
          <w:bCs/>
          <w:sz w:val="20"/>
          <w:szCs w:val="20"/>
        </w:rPr>
      </w:pPr>
    </w:p>
    <w:p w14:paraId="0B5C2E45" w14:textId="5F13855A" w:rsidR="00A04479" w:rsidRPr="00444B17" w:rsidRDefault="00C12AC8" w:rsidP="00164273">
      <w:pPr>
        <w:jc w:val="both"/>
        <w:rPr>
          <w:sz w:val="20"/>
          <w:szCs w:val="20"/>
        </w:rPr>
      </w:pPr>
      <w:r w:rsidRPr="00444B17">
        <w:rPr>
          <w:rFonts w:ascii="Times New Roman" w:eastAsia="Times New Roman" w:hAnsi="Times New Roman"/>
          <w:b/>
          <w:bCs/>
          <w:sz w:val="20"/>
          <w:szCs w:val="20"/>
        </w:rPr>
        <w:t>Prospective qualitative data.</w:t>
      </w:r>
      <w:r w:rsidRPr="00444B17">
        <w:rPr>
          <w:rFonts w:ascii="Times New Roman" w:eastAsia="Times New Roman" w:hAnsi="Times New Roman"/>
          <w:sz w:val="20"/>
          <w:szCs w:val="20"/>
        </w:rPr>
        <w:t xml:space="preserve"> A voluntary convenience sample from the Asian Institute of Technology (AIT) community will provide brief written rationales, suggested support actions and comments on missing information while evaluating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These consented,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responses will form the project's unstructured dataset, will be linked to pseudonymous participant and case IDs, and will be </w:t>
      </w:r>
      <w:proofErr w:type="spellStart"/>
      <w:r w:rsidRPr="00444B17">
        <w:rPr>
          <w:rFonts w:ascii="Times New Roman" w:eastAsia="Times New Roman" w:hAnsi="Times New Roman"/>
          <w:sz w:val="20"/>
          <w:szCs w:val="20"/>
        </w:rPr>
        <w:t>analysed</w:t>
      </w:r>
      <w:proofErr w:type="spellEnd"/>
      <w:r w:rsidRPr="00444B17">
        <w:rPr>
          <w:rFonts w:ascii="Times New Roman" w:eastAsia="Times New Roman" w:hAnsi="Times New Roman"/>
          <w:sz w:val="20"/>
          <w:szCs w:val="20"/>
        </w:rPr>
        <w:t xml:space="preserve"> qualitatively for comprehension, actionability and information gaps. No AIT student records will be collected, and responses will not enter the dropout model or be presented as explanations of real outcomes.</w:t>
      </w:r>
    </w:p>
    <w:p w14:paraId="6A67B78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4. Prediction Task and Study Design</w:t>
      </w:r>
    </w:p>
    <w:p w14:paraId="27F975B0" w14:textId="77777777" w:rsidR="00A04479" w:rsidRPr="00444B17" w:rsidRDefault="00C12AC8" w:rsidP="00164273">
      <w:pPr>
        <w:jc w:val="both"/>
        <w:rPr>
          <w:sz w:val="20"/>
          <w:szCs w:val="20"/>
        </w:rPr>
      </w:pPr>
      <w:r w:rsidRPr="00444B17">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7C62AC21" w14:textId="77777777" w:rsidR="00362165" w:rsidRDefault="00362165" w:rsidP="00164273">
      <w:pPr>
        <w:jc w:val="both"/>
        <w:rPr>
          <w:rFonts w:ascii="Times New Roman" w:eastAsia="Times New Roman" w:hAnsi="Times New Roman"/>
          <w:sz w:val="20"/>
          <w:szCs w:val="20"/>
        </w:rPr>
      </w:pPr>
    </w:p>
    <w:p w14:paraId="2824B622" w14:textId="167AB446" w:rsidR="00A04479" w:rsidRP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prediction time will be immediately after first-semester results. Only variables available by then will enter the model: enrolment/admission records, demographic and socio-economic fields, administrative status, macroeconomic indicators, and </w:t>
      </w:r>
      <w:r w:rsidRPr="00444B17">
        <w:rPr>
          <w:rFonts w:ascii="Times New Roman" w:eastAsia="Times New Roman" w:hAnsi="Times New Roman"/>
          <w:sz w:val="20"/>
          <w:szCs w:val="20"/>
        </w:rPr>
        <w:lastRenderedPageBreak/>
        <w:t>first-semester outcomes. Second-semester curricular variables will be excluded as temporal leakage. First-semester grades and approved units are predictive but already historical, so they will be treated as immutable in counterfactual recourse.</w:t>
      </w:r>
    </w:p>
    <w:p w14:paraId="236BFDF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5. Proposed Methodology</w:t>
      </w:r>
    </w:p>
    <w:p w14:paraId="00FB78E7"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5.1  Predictive</w:t>
      </w:r>
      <w:proofErr w:type="gramEnd"/>
      <w:r w:rsidRPr="00444B17">
        <w:rPr>
          <w:rFonts w:ascii="Times New Roman" w:eastAsia="Times New Roman" w:hAnsi="Times New Roman"/>
          <w:color w:val="1F2A44"/>
          <w:sz w:val="22"/>
          <w:szCs w:val="22"/>
        </w:rPr>
        <w:t xml:space="preserve"> Modelling and Evaluation</w:t>
      </w:r>
    </w:p>
    <w:p w14:paraId="241A7FA7" w14:textId="2398AB9D" w:rsidR="002339CF" w:rsidRDefault="008A73EA" w:rsidP="008C421D">
      <w:r w:rsidRPr="008C421D">
        <w:rPr>
          <w:rFonts w:ascii="Times New Roman" w:hAnsi="Times New Roman" w:cs="Times New Roman"/>
          <w:sz w:val="20"/>
        </w:rPr>
        <w:t xml:space="preserve">A fixed, stratified 70/15/15 train/validation/test split supports identical comparisons. Before test access, protocol amendments added a native main-effects Explainable Boosting Machine (EBM) and froze the audit rules without changing the split, seed, target, feature windows, capacity policy or evaluation rules. Validation ROC-AUC was 0.952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2.2.0 (four estimators), 0.946 for EBM, 0.945 for logistic regression and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0.923 for a depth-3 tree. These validation-only results do not establish </w:t>
      </w:r>
      <w:proofErr w:type="spellStart"/>
      <w:r w:rsidRPr="008C421D">
        <w:rPr>
          <w:rFonts w:ascii="Times New Roman" w:hAnsi="Times New Roman" w:cs="Times New Roman"/>
          <w:sz w:val="20"/>
        </w:rPr>
        <w:t>TabICL's</w:t>
      </w:r>
      <w:proofErr w:type="spellEnd"/>
      <w:r w:rsidRPr="008C421D">
        <w:rPr>
          <w:rFonts w:ascii="Times New Roman" w:hAnsi="Times New Roman" w:cs="Times New Roman"/>
          <w:sz w:val="20"/>
        </w:rPr>
        <w:t xml:space="preserve"> superiority; its 0.006 validation ROC-AUC margin over EBM is modest. EBM uses raw named variables, explicit nominal types and no interactions; its additive-model rationale follows Lou et al. (2013). The policy ranks each cohort and flags the top 20% with stable tie-breaking; no universal probability threshold is claimed. At the validation top-20% capacity,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flagged 108 of 544 cases, achieving the capacity-limited maximum recall of 108/213 (0.507) with 1.000 precision. A separate admission-time validation comparison, using only enrolment/admission features and excluding first-semester outcomes, gave ROC-AUCs of 0.8753 for EBM, 0.8752 for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0.8739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these are not the primary post-first-semester task results. After all model and explanation choices are frozen, one final same-test-set evaluation will report discrimination, capacity metrics, calibration, runtime and paired 2,000-resample bootstrap intervals for model differences. The pre-specified top-20% capacity will remain the primary operating point; any alternative capacities will be supplementary.</w:t>
      </w:r>
    </w:p>
    <w:p w14:paraId="76E2B348" w14:textId="57990325"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5.2  Explanation</w:t>
      </w:r>
      <w:proofErr w:type="gramEnd"/>
      <w:r w:rsidRPr="00444B17">
        <w:rPr>
          <w:rFonts w:ascii="Times New Roman" w:eastAsia="Times New Roman" w:hAnsi="Times New Roman"/>
          <w:color w:val="1F2A44"/>
          <w:sz w:val="22"/>
          <w:szCs w:val="22"/>
        </w:rPr>
        <w:t xml:space="preserve"> Method and Faithfulness Evaluation</w:t>
      </w:r>
    </w:p>
    <w:p w14:paraId="7204DA7F" w14:textId="2D3ABC53" w:rsidR="00A04479" w:rsidRPr="00444B17" w:rsidRDefault="008A73EA" w:rsidP="008A73EA">
      <w:pPr>
        <w:jc w:val="both"/>
        <w:rPr>
          <w:sz w:val="20"/>
          <w:szCs w:val="20"/>
        </w:rPr>
      </w:pPr>
      <w:r w:rsidRPr="008A73EA">
        <w:rPr>
          <w:rFonts w:ascii="Times New Roman" w:eastAsia="Times New Roman" w:hAnsi="Times New Roman" w:cs="Times New Roman"/>
          <w:sz w:val="20"/>
          <w:szCs w:val="20"/>
        </w:rPr>
        <w:t>As a TFM is not a tree ensemble, TreeSHAP exactness will not be claimed. Model-agnostic permutation SHAP (Lundberg &amp; Lee, 2017) will explain dropout probability using 25 training-only background rows and a max_evals budget of 67 model evaluations per explained case; 67 is the explainer budget, not a count of cases. The local faithfulness and stability audits will use the same 20 cases described in Section 5.3, selected from the validation split by predicted-risk stratum using predictions only, so neither test data nor outcome labels influence case selection or tuning.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model reliance, not intervention, and attributions describe model associations, not causes of dropout. Validation checks reconstructed TabICL probabilities within 4.1e-8 and recovered known white-box attribution ranks with Spearman 1.0. Grouped permutation importance will supply global reliance, while ALE will examine three validation-selected numerical effects with less off-manifold risk than PDP under correlation.</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3F3F3864"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5.3  Explanation</w:t>
      </w:r>
      <w:proofErr w:type="gramEnd"/>
      <w:r w:rsidRPr="00444B17">
        <w:rPr>
          <w:rFonts w:ascii="Times New Roman" w:eastAsia="Times New Roman" w:hAnsi="Times New Roman"/>
          <w:color w:val="1F2A44"/>
          <w:sz w:val="22"/>
          <w:szCs w:val="22"/>
        </w:rPr>
        <w:t xml:space="preserve"> Stability Evaluation</w:t>
      </w:r>
    </w:p>
    <w:p w14:paraId="776330B6" w14:textId="2B293960" w:rsidR="00A04479" w:rsidRPr="00444B17" w:rsidRDefault="008A73EA" w:rsidP="008A73EA">
      <w:pPr>
        <w:jc w:val="both"/>
        <w:rPr>
          <w:sz w:val="20"/>
          <w:szCs w:val="20"/>
        </w:rPr>
      </w:pPr>
      <w:r w:rsidRPr="008A73EA">
        <w:rPr>
          <w:rFonts w:ascii="Times New Roman" w:eastAsia="Times New Roman" w:hAnsi="Times New Roman" w:cs="Times New Roman"/>
          <w:sz w:val="20"/>
          <w:szCs w:val="20"/>
        </w:rPr>
        <w:t>The stability and local faithfulness evaluations will use the same 20 validation cases, selected deterministically by taking four cases from each of five predicted-risk strata; selection uses predictions only and never outcome labels, and the test split stays unopened.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(Tiukhova et al., 2024).</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3350B4E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5.4  Human</w:t>
      </w:r>
      <w:proofErr w:type="gramEnd"/>
      <w:r w:rsidRPr="00444B17">
        <w:rPr>
          <w:rFonts w:ascii="Times New Roman" w:eastAsia="Times New Roman" w:hAnsi="Times New Roman"/>
          <w:color w:val="1F2A44"/>
          <w:sz w:val="22"/>
          <w:szCs w:val="22"/>
        </w:rPr>
        <w:t xml:space="preserve"> Evaluation</w:t>
      </w:r>
    </w:p>
    <w:p w14:paraId="3A389BEB" w14:textId="377ABD19" w:rsidR="00A04479" w:rsidRPr="00444B17" w:rsidRDefault="00C12AC8" w:rsidP="00164273">
      <w:pPr>
        <w:jc w:val="both"/>
        <w:rPr>
          <w:sz w:val="20"/>
          <w:szCs w:val="20"/>
        </w:rPr>
      </w:pPr>
      <w:r w:rsidRPr="00444B17">
        <w:rPr>
          <w:rFonts w:ascii="Times New Roman" w:eastAsia="Times New Roman" w:hAnsi="Times New Roman"/>
          <w:sz w:val="20"/>
          <w:szCs w:val="20"/>
        </w:rPr>
        <w:t>Following forward-simulation evaluation (Hase &amp; Bansal, 2020), the human study will aim to recruit 8–10 voluntary AIT participants. At least four participants will be required, and the achieved sample will be allocated as evenly as practicable between groups using seeded assignment. After standardised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 Optional extension: if at least 12 participants are recruited, the explanation group will be split into a contribution chart only and a chart plus a plain-language narrative rendered by a verified local template from the same contributions, with no free-form generated text; with fewer participants this condition is omitted. Any such comparison is exploratory and reported separately from the model results.</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00645548" w:rsidRPr="00645548"/>
      <w:r w:rsidR="00645548" w:rsidRPr="00645548">
        <w:rPr>
          <w:rFonts w:ascii="Times New Roman" w:eastAsia="Times New Roman" w:hAnsi="Times New Roman"/>
          <w:sz w:val="20"/>
          <w:szCs w:val="20"/>
        </w:rPr>
      </w:r>
      <w:r w:rsidRPr="00444B17">
        <w:rPr>
          <w:rFonts w:ascii="Times New Roman" w:eastAsia="Times New Roman" w:hAnsi="Times New Roman"/>
          <w:sz w:val="20"/>
          <w:szCs w:val="20"/>
        </w:rPr>
      </w:r>
    </w:p>
    <w:p w14:paraId="28C2615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5.5  Actionability</w:t>
      </w:r>
      <w:proofErr w:type="gramEnd"/>
      <w:r w:rsidRPr="00444B17">
        <w:rPr>
          <w:rFonts w:ascii="Times New Roman" w:eastAsia="Times New Roman" w:hAnsi="Times New Roman"/>
          <w:color w:val="1F2A44"/>
          <w:sz w:val="22"/>
          <w:szCs w:val="22"/>
        </w:rPr>
        <w:t xml:space="preserve"> and Counterfactual Analysis</w:t>
      </w:r>
    </w:p>
    <w:p w14:paraId="441CE759" w14:textId="7D37080A" w:rsidR="00A04479" w:rsidRPr="00444B17" w:rsidRDefault="008A73EA" w:rsidP="008A73EA">
      <w:pPr>
        <w:jc w:val="both"/>
        <w:rPr>
          <w:sz w:val="20"/>
          <w:szCs w:val="20"/>
        </w:rPr>
      </w:pPr>
      <w:r w:rsidRPr="008A73EA">
        <w:rPr>
          <w:rFonts w:ascii="Times New Roman" w:eastAsia="Times New Roman" w:hAnsi="Times New Roman" w:cs="Times New Roman"/>
          <w:sz w:val="20"/>
          <w:szCs w:val="20"/>
        </w:rPr>
        <w:t xml:space="preserve">Before modelling, features will be classified by temporal availability and feasibility. Age, nationality, prior qualifications and completed first-semester outcomes will remain fixed. Only debtor and tuition-fee status will be enumerated as potentially </w:t>
      </w:r>
      <w:r w:rsidRPr="008A73EA">
        <w:rPr>
          <w:rFonts w:ascii="Times New Roman" w:eastAsia="Times New Roman" w:hAnsi="Times New Roman" w:cs="Times New Roman"/>
          <w:sz w:val="20"/>
          <w:szCs w:val="20"/>
        </w:rPr>
        <w:lastRenderedPageBreak/>
        <w:t xml:space="preserve">resolvable administrative conditions, and only when the resolved value is valid and realistic before second-semester support decisions; any change may require institutional support and will not be framed as a student-controlled obligation. For a flagged case, the search will find the smallest feasible change that moves it outside the cohort's top-20% set after recomputing its rank while all other scores stay fixed. No universal probability threshold will be assumed, and cases with no feasible recourse will be reported explicitly. These outputs describe model </w:t>
      </w:r>
      <w:proofErr w:type="spellStart"/>
      <w:r w:rsidRPr="008A73EA">
        <w:rPr>
          <w:rFonts w:ascii="Times New Roman" w:eastAsia="Times New Roman" w:hAnsi="Times New Roman" w:cs="Times New Roman"/>
          <w:sz w:val="20"/>
          <w:szCs w:val="20"/>
        </w:rPr>
        <w:t>behaviour</w:t>
      </w:r>
      <w:proofErr w:type="spellEnd"/>
      <w:r w:rsidRPr="008A73EA">
        <w:rPr>
          <w:rFonts w:ascii="Times New Roman" w:eastAsia="Times New Roman" w:hAnsi="Times New Roman" w:cs="Times New Roman"/>
          <w:sz w:val="20"/>
          <w:szCs w:val="20"/>
        </w:rPr>
        <w:t>, not causal promises or guaranteed outcomes (Karimi et al., 2021).</w:t>
      </w:r>
    </w:p>
    <w:p w14:paraId="23E429A2"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5.6  System</w:t>
      </w:r>
      <w:proofErr w:type="gramEnd"/>
      <w:r w:rsidRPr="00444B17">
        <w:rPr>
          <w:rFonts w:ascii="Times New Roman" w:eastAsia="Times New Roman" w:hAnsi="Times New Roman"/>
          <w:color w:val="1F2A44"/>
          <w:sz w:val="22"/>
          <w:szCs w:val="22"/>
        </w:rPr>
        <w:t xml:space="preserve"> Architecture, Workflow and Expected Outputs</w:t>
      </w:r>
    </w:p>
    <w:p w14:paraId="7186F922" w14:textId="55714809" w:rsid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The end-to-end workflow will deliver a frozen comparison of TabICL and baselines, explanation and recourse evidence, subgroup diagnostics, human-study findings, a model card and reproducible reports. A lightweight browser-based research interface will provide decision support with frozen predictions, local explanations, reliability warnings and feasible support options, plus a blinded-study mode. The blinded study will withhold model outputs and feedback until all 10 scored responses are submitted. The interface will render versioned, precomputed Python outputs (predictions, contributions and reliability warnings) rather than run live inference, run locally or in a controlled course environment, and accept only pre-approved, pseudonymised UCI test cases. Case packs and response submissions will be validated, rejecting missing, extra, invalid or out-of-range fields rather than silently changing them. Model weights, raw participant responses and credentials will never enter frontend code or version control, and an audit panel will display model, data-split and interface versions for traceability. Before test access, interface parity is checked with training/validation fixtures; study cases are loaded only after the single final evaluation, followed by an export-parity check without retuning. It is a research demonstration, not a production AIT service.</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7EA0D7CD" w14:textId="77777777" w:rsidR="003B5278" w:rsidRPr="003B5278" w:rsidRDefault="003B5278" w:rsidP="00164273">
      <w:pPr>
        <w:jc w:val="both"/>
        <w:rPr>
          <w:rFonts w:ascii="Times New Roman" w:eastAsia="Times New Roman" w:hAnsi="Times New Roman"/>
          <w:sz w:val="20"/>
          <w:szCs w:val="20"/>
        </w:rPr>
      </w:pPr>
    </w:p>
    <w:tbl>
      <w:tblPr>
        <w:tblW w:w="0" w:type="auto"/>
        <w:jc w:val="center"/>
        <w:tblLayout w:type="fixed"/>
        <w:tblLook w:val="04A0" w:firstRow="1" w:lastRow="0" w:firstColumn="1" w:lastColumn="0" w:noHBand="0" w:noVBand="1"/>
      </w:tblPr>
      <w:tblGrid>
        <w:gridCol w:w="2664"/>
        <w:gridCol w:w="360"/>
        <w:gridCol w:w="2664"/>
        <w:gridCol w:w="360"/>
        <w:gridCol w:w="2664"/>
      </w:tblGrid>
      <w:tr w:rsidR="00A04479" w:rsidRPr="00444B17" w14:paraId="5D5E886C"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0E73352"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1. Decision frame</w:t>
            </w:r>
            <w:r w:rsidRPr="00444B17">
              <w:rPr>
                <w:rFonts w:ascii="Times New Roman" w:eastAsia="Times New Roman" w:hAnsi="Times New Roman"/>
                <w:b/>
                <w:color w:val="1F4E79"/>
                <w:sz w:val="14"/>
                <w:szCs w:val="14"/>
              </w:rPr>
              <w:br/>
              <w:t>intended user · decision · timing</w:t>
            </w:r>
            <w:r w:rsidRPr="00444B17">
              <w:rPr>
                <w:rFonts w:ascii="Times New Roman" w:eastAsia="Times New Roman" w:hAnsi="Times New Roman"/>
                <w:b/>
                <w:color w:val="1F4E79"/>
                <w:sz w:val="14"/>
                <w:szCs w:val="14"/>
              </w:rPr>
              <w:br/>
              <w:t>binary target</w:t>
            </w:r>
          </w:p>
        </w:tc>
        <w:tc>
          <w:tcPr>
            <w:tcW w:w="360" w:type="dxa"/>
            <w:tcBorders>
              <w:top w:val="nil"/>
              <w:left w:val="nil"/>
              <w:bottom w:val="nil"/>
              <w:right w:val="nil"/>
            </w:tcBorders>
            <w:vAlign w:val="center"/>
          </w:tcPr>
          <w:p w14:paraId="30A89A99"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3FA6D7"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2. Data design</w:t>
            </w:r>
            <w:r w:rsidRPr="00444B17">
              <w:rPr>
                <w:rFonts w:ascii="Times New Roman" w:eastAsia="Times New Roman" w:hAnsi="Times New Roman"/>
                <w:b/>
                <w:color w:val="1F4E79"/>
                <w:sz w:val="14"/>
                <w:szCs w:val="14"/>
              </w:rPr>
              <w:br/>
              <w:t>UCI audit · feature windows</w:t>
            </w:r>
            <w:r w:rsidRPr="00444B17">
              <w:rPr>
                <w:rFonts w:ascii="Times New Roman" w:eastAsia="Times New Roman" w:hAnsi="Times New Roman"/>
                <w:b/>
                <w:color w:val="1F4E79"/>
                <w:sz w:val="14"/>
                <w:szCs w:val="14"/>
              </w:rPr>
              <w:br/>
              <w:t>frozen 70/15/15 IDs</w:t>
            </w:r>
          </w:p>
        </w:tc>
        <w:tc>
          <w:tcPr>
            <w:tcW w:w="360" w:type="dxa"/>
            <w:tcBorders>
              <w:top w:val="nil"/>
              <w:left w:val="nil"/>
              <w:bottom w:val="nil"/>
              <w:right w:val="nil"/>
            </w:tcBorders>
            <w:vAlign w:val="center"/>
          </w:tcPr>
          <w:p w14:paraId="57F055F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A1F49C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3. Model development</w:t>
            </w:r>
            <w:r w:rsidRPr="00444B17">
              <w:rPr>
                <w:rFonts w:ascii="Times New Roman" w:eastAsia="Times New Roman" w:hAnsi="Times New Roman"/>
                <w:b/>
                <w:color w:val="1F4E79"/>
                <w:sz w:val="14"/>
                <w:szCs w:val="14"/>
              </w:rPr>
              <w:br/>
              <w:t>train-only preparation</w:t>
            </w:r>
            <w:r w:rsidRPr="00444B17">
              <w:rPr>
                <w:rFonts w:ascii="Times New Roman" w:eastAsia="Times New Roman" w:hAnsi="Times New Roman"/>
                <w:b/>
                <w:color w:val="1F4E79"/>
                <w:sz w:val="14"/>
                <w:szCs w:val="14"/>
              </w:rPr>
              <w:br/>
            </w:r>
            <w:proofErr w:type="spellStart"/>
            <w:r w:rsidRPr="00444B17">
              <w:rPr>
                <w:rFonts w:ascii="Times New Roman" w:eastAsia="Times New Roman" w:hAnsi="Times New Roman"/>
                <w:b/>
                <w:color w:val="1F4E79"/>
                <w:sz w:val="14"/>
                <w:szCs w:val="14"/>
              </w:rPr>
              <w:t>TabICL</w:t>
            </w:r>
            <w:proofErr w:type="spellEnd"/>
            <w:r w:rsidRPr="00444B17">
              <w:rPr>
                <w:rFonts w:ascii="Times New Roman" w:eastAsia="Times New Roman" w:hAnsi="Times New Roman"/>
                <w:b/>
                <w:color w:val="1F4E79"/>
                <w:sz w:val="14"/>
                <w:szCs w:val="14"/>
              </w:rPr>
              <w:t xml:space="preserve"> + LR/tree/XGB/EBM</w:t>
            </w:r>
          </w:p>
        </w:tc>
      </w:tr>
      <w:tr w:rsidR="00A04479" w:rsidRPr="00444B17" w14:paraId="0E09E883" w14:textId="77777777">
        <w:trPr>
          <w:cantSplit/>
          <w:jc w:val="center"/>
        </w:trPr>
        <w:tc>
          <w:tcPr>
            <w:tcW w:w="2664" w:type="dxa"/>
            <w:tcBorders>
              <w:top w:val="nil"/>
              <w:left w:val="nil"/>
              <w:bottom w:val="nil"/>
              <w:right w:val="nil"/>
            </w:tcBorders>
            <w:vAlign w:val="center"/>
          </w:tcPr>
          <w:p w14:paraId="0EA4805D"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57DD1D31"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58B5BD7C"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4F333256"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7A1EE37B"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r>
      <w:tr w:rsidR="00A04479" w:rsidRPr="00444B17" w14:paraId="4D24B6B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2D29A2C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6. Local explanations</w:t>
            </w:r>
            <w:r w:rsidRPr="00444B17">
              <w:rPr>
                <w:rFonts w:ascii="Times New Roman" w:eastAsia="Times New Roman" w:hAnsi="Times New Roman"/>
                <w:b/>
                <w:color w:val="1F4E79"/>
                <w:sz w:val="14"/>
                <w:szCs w:val="14"/>
              </w:rPr>
              <w:br/>
              <w:t>audit + study cases</w:t>
            </w:r>
            <w:r w:rsidRPr="00444B17">
              <w:rPr>
                <w:rFonts w:ascii="Times New Roman" w:eastAsia="Times New Roman" w:hAnsi="Times New Roman"/>
                <w:b/>
                <w:color w:val="1F4E79"/>
                <w:sz w:val="14"/>
                <w:szCs w:val="14"/>
              </w:rPr>
              <w:br/>
              <w:t>model-agnostic SHAP</w:t>
            </w:r>
          </w:p>
        </w:tc>
        <w:tc>
          <w:tcPr>
            <w:tcW w:w="360" w:type="dxa"/>
            <w:tcBorders>
              <w:top w:val="nil"/>
              <w:left w:val="nil"/>
              <w:bottom w:val="nil"/>
              <w:right w:val="nil"/>
            </w:tcBorders>
            <w:vAlign w:val="center"/>
          </w:tcPr>
          <w:p w14:paraId="3155DD05"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460CDBE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5. One-time final test</w:t>
            </w:r>
            <w:r w:rsidRPr="00444B17">
              <w:rPr>
                <w:rFonts w:ascii="Times New Roman" w:eastAsia="Times New Roman" w:hAnsi="Times New Roman"/>
                <w:b/>
                <w:color w:val="1F4E79"/>
                <w:sz w:val="14"/>
                <w:szCs w:val="14"/>
              </w:rPr>
              <w:br/>
              <w:t>performance · calibration</w:t>
            </w:r>
            <w:r w:rsidRPr="00444B17">
              <w:rPr>
                <w:rFonts w:ascii="Times New Roman" w:eastAsia="Times New Roman" w:hAnsi="Times New Roman"/>
                <w:b/>
                <w:color w:val="1F4E79"/>
                <w:sz w:val="14"/>
                <w:szCs w:val="14"/>
              </w:rPr>
              <w:br/>
              <w:t>paired uncertainty · runtime</w:t>
            </w:r>
          </w:p>
        </w:tc>
        <w:tc>
          <w:tcPr>
            <w:tcW w:w="360" w:type="dxa"/>
            <w:tcBorders>
              <w:top w:val="nil"/>
              <w:left w:val="nil"/>
              <w:bottom w:val="nil"/>
              <w:right w:val="nil"/>
            </w:tcBorders>
            <w:vAlign w:val="center"/>
          </w:tcPr>
          <w:p w14:paraId="765D6457"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77DF509E"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4. Validation freeze</w:t>
            </w:r>
            <w:r w:rsidRPr="00444B17">
              <w:rPr>
                <w:rFonts w:ascii="Times New Roman" w:eastAsia="Times New Roman" w:hAnsi="Times New Roman"/>
                <w:b/>
                <w:color w:val="1F4E79"/>
                <w:sz w:val="14"/>
                <w:szCs w:val="14"/>
              </w:rPr>
              <w:br/>
              <w:t>model · capacity policy</w:t>
            </w:r>
            <w:r w:rsidRPr="00444B17">
              <w:rPr>
                <w:rFonts w:ascii="Times New Roman" w:eastAsia="Times New Roman" w:hAnsi="Times New Roman"/>
                <w:b/>
                <w:color w:val="1F4E79"/>
                <w:sz w:val="14"/>
                <w:szCs w:val="14"/>
              </w:rPr>
              <w:br/>
              <w:t>SHAP groups/budget</w:t>
            </w:r>
          </w:p>
        </w:tc>
      </w:tr>
      <w:tr w:rsidR="00A04479" w:rsidRPr="00444B17" w14:paraId="5469E10E" w14:textId="77777777">
        <w:trPr>
          <w:cantSplit/>
          <w:jc w:val="center"/>
        </w:trPr>
        <w:tc>
          <w:tcPr>
            <w:tcW w:w="2664" w:type="dxa"/>
            <w:tcBorders>
              <w:top w:val="nil"/>
              <w:left w:val="nil"/>
              <w:bottom w:val="nil"/>
              <w:right w:val="nil"/>
            </w:tcBorders>
            <w:vAlign w:val="center"/>
          </w:tcPr>
          <w:p w14:paraId="14821A98"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360" w:type="dxa"/>
            <w:tcBorders>
              <w:top w:val="nil"/>
              <w:left w:val="nil"/>
              <w:bottom w:val="nil"/>
              <w:right w:val="nil"/>
            </w:tcBorders>
            <w:vAlign w:val="center"/>
          </w:tcPr>
          <w:p w14:paraId="5E42EEB7"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48CCD6D8"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755AF9AD"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3E29608D" w14:textId="77777777" w:rsidR="00A04479" w:rsidRPr="00444B17" w:rsidRDefault="00A04479" w:rsidP="00164273">
            <w:pPr>
              <w:keepNext/>
              <w:jc w:val="center"/>
              <w:rPr>
                <w:sz w:val="14"/>
                <w:szCs w:val="14"/>
              </w:rPr>
            </w:pPr>
          </w:p>
        </w:tc>
      </w:tr>
      <w:tr w:rsidR="00A04479" w:rsidRPr="00444B17" w14:paraId="63853342"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7CEBBC2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7. Explanation evidence</w:t>
            </w:r>
            <w:r w:rsidRPr="00444B17">
              <w:rPr>
                <w:rFonts w:ascii="Times New Roman" w:eastAsia="Times New Roman" w:hAnsi="Times New Roman"/>
                <w:b/>
                <w:color w:val="1F4E79"/>
                <w:sz w:val="14"/>
                <w:szCs w:val="14"/>
              </w:rPr>
              <w:br/>
              <w:t>deletion + white-box · stability</w:t>
            </w:r>
            <w:r w:rsidRPr="00444B17">
              <w:rPr>
                <w:rFonts w:ascii="Times New Roman" w:eastAsia="Times New Roman" w:hAnsi="Times New Roman"/>
                <w:b/>
                <w:color w:val="1F4E79"/>
                <w:sz w:val="14"/>
                <w:szCs w:val="14"/>
              </w:rPr>
              <w:br/>
              <w:t>perturbation · recourse</w:t>
            </w:r>
          </w:p>
        </w:tc>
        <w:tc>
          <w:tcPr>
            <w:tcW w:w="360" w:type="dxa"/>
            <w:tcBorders>
              <w:top w:val="nil"/>
              <w:left w:val="nil"/>
              <w:bottom w:val="nil"/>
              <w:right w:val="nil"/>
            </w:tcBorders>
            <w:vAlign w:val="center"/>
          </w:tcPr>
          <w:p w14:paraId="7A9D73B0"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56C1336"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8. Decision-support study</w:t>
            </w:r>
            <w:r w:rsidRPr="00444B17">
              <w:rPr>
                <w:rFonts w:ascii="Times New Roman" w:eastAsia="Times New Roman" w:hAnsi="Times New Roman"/>
                <w:b/>
                <w:color w:val="1F4E79"/>
                <w:sz w:val="14"/>
                <w:szCs w:val="14"/>
              </w:rPr>
              <w:br/>
              <w:t>subgroup/proxy audit · interface</w:t>
            </w:r>
            <w:r w:rsidRPr="00444B17">
              <w:rPr>
                <w:rFonts w:ascii="Times New Roman" w:eastAsia="Times New Roman" w:hAnsi="Times New Roman"/>
                <w:b/>
                <w:color w:val="1F4E79"/>
                <w:sz w:val="14"/>
                <w:szCs w:val="14"/>
              </w:rPr>
              <w:br/>
              <w:t>blinded A/B study + coding</w:t>
            </w:r>
          </w:p>
        </w:tc>
        <w:tc>
          <w:tcPr>
            <w:tcW w:w="360" w:type="dxa"/>
            <w:tcBorders>
              <w:top w:val="nil"/>
              <w:left w:val="nil"/>
              <w:bottom w:val="nil"/>
              <w:right w:val="nil"/>
            </w:tcBorders>
            <w:vAlign w:val="center"/>
          </w:tcPr>
          <w:p w14:paraId="1E29C43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4359B518" w14:textId="636524EA"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 xml:space="preserve">9. </w:t>
            </w:r>
            <w:r w:rsidR="00164273">
              <w:rPr>
                <w:rFonts w:ascii="Times New Roman" w:eastAsia="Times New Roman" w:hAnsi="Times New Roman"/>
                <w:b/>
                <w:color w:val="1F4E79"/>
                <w:sz w:val="14"/>
              </w:rPr>
              <w:t>Lightweight Interface + Project Deliverables (report+ code +tables+ model card)</w:t>
            </w:r>
          </w:p>
        </w:tc>
      </w:tr>
    </w:tbl>
    <w:p w14:paraId="080C4724" w14:textId="62108310" w:rsidR="00A04479" w:rsidRPr="00444B17" w:rsidRDefault="00C12AC8" w:rsidP="00164273">
      <w:pPr>
        <w:spacing w:after="120"/>
        <w:jc w:val="both"/>
        <w:rPr>
          <w:i/>
          <w:iCs/>
          <w:sz w:val="18"/>
          <w:szCs w:val="18"/>
        </w:rPr>
      </w:pPr>
      <w:r w:rsidRPr="00444B17">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5A11F396" w14:textId="77777777" w:rsidR="00A04479" w:rsidRPr="00444B17" w:rsidRDefault="00C12AC8" w:rsidP="00164273">
      <w:pPr>
        <w:pStyle w:val="Heading2"/>
        <w:spacing w:after="40"/>
        <w:rPr>
          <w:sz w:val="22"/>
          <w:szCs w:val="22"/>
        </w:rPr>
      </w:pPr>
      <w:proofErr w:type="gramStart"/>
      <w:r w:rsidRPr="00444B17">
        <w:rPr>
          <w:rFonts w:ascii="Times New Roman" w:eastAsia="Times New Roman" w:hAnsi="Times New Roman"/>
          <w:sz w:val="22"/>
          <w:szCs w:val="22"/>
        </w:rPr>
        <w:t>5.7  Qualitative</w:t>
      </w:r>
      <w:proofErr w:type="gramEnd"/>
      <w:r w:rsidRPr="00444B17">
        <w:rPr>
          <w:rFonts w:ascii="Times New Roman" w:eastAsia="Times New Roman" w:hAnsi="Times New Roman"/>
          <w:sz w:val="22"/>
          <w:szCs w:val="22"/>
        </w:rPr>
        <w:t xml:space="preserve"> Analysis of Human-Study Responses</w:t>
      </w:r>
    </w:p>
    <w:p w14:paraId="7DBAB494" w14:textId="2778D2C1" w:rsidR="00A04479" w:rsidRPr="00444B17" w:rsidRDefault="008A73EA" w:rsidP="008A73EA">
      <w:pPr>
        <w:jc w:val="both"/>
        <w:rPr>
          <w:sz w:val="20"/>
          <w:szCs w:val="20"/>
        </w:rPr>
      </w:pPr>
      <w:r w:rsidRPr="008A73EA">
        <w:rPr>
          <w:rFonts w:ascii="Times New Roman" w:eastAsia="Times New Roman" w:hAnsi="Times New Roman" w:cs="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Action suggestions will additionally be coded for whether they identify a concrete next step, are feasible before second-semester decisions, and distinguish student-controlled from institution-supported actions; unsupported causal assumptions will be flagged.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7EAE91F7"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6. Ethics, Fairness and Data Governance</w:t>
      </w:r>
    </w:p>
    <w:p w14:paraId="0A22A8D8" w14:textId="519B14C7" w:rsidR="00A04479" w:rsidRDefault="008A73EA" w:rsidP="008A73EA">
      <w:pPr>
        <w:jc w:val="both"/>
        <w:rPr>
          <w:rFonts w:ascii="Times New Roman" w:eastAsia="Times New Roman" w:hAnsi="Times New Roman"/>
          <w:sz w:val="20"/>
          <w:szCs w:val="20"/>
        </w:rPr>
      </w:pPr>
      <w:r w:rsidRPr="008A73EA">
        <w:rPr>
          <w:rFonts w:ascii="Times New Roman" w:eastAsia="Times New Roman" w:hAnsi="Times New Roman" w:cs="Times New Roman"/>
          <w:sz w:val="20"/>
          <w:szCs w:val="20"/>
        </w:rPr>
        <w:t>The UCI dataset is publicly available under CC BY 4.0 with no direct identifiers; its citation and licence will be preserved, the raw file will remain unchanged, and all transformations will be documented. Human-study participants will be consenting adults (18 or older) recruited voluntarily from the AIT community; participation or refusal will have no effect on grades, employment or access to services. Consent information will explain the task, recorded data, withdrawal limit and retention plan before participation. No names or institutional identifiers will be collected in study responses; random participant IDs and pseudonymised case IDs will be used, and any case lookup will be stored separately with access limited to the research team. Raw free text will stay outside version control and accidental identifiers will be removed; pseudonymous does not mean fully anonymous, so raw-response access will be restricted to the research team. Participants may request withdrawal using their participant ID until their response has been de-identified and included in aggregate analysis; this limit will be stated during consent. As a class project, the study follows basic research-ethics practice (voluntary informed consent, minimal data, no identifiers, restricted access and a stated retention limit) rather than a formal institutional ethics-board process, and collection will stay within the consent text shown to participants. Before recruitment, the team will also record the applicable course retention deadline; raw responses and case-linkage files will be securely deleted at that deadline, retaining only non-identifiable aggregate results. The interface will run locally or in a controlled course environment. Public deployment is outside the scope of this project and would require separate privacy, security and ethics review.</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699FB493" w14:textId="77777777" w:rsidR="00164273" w:rsidRPr="00444B17" w:rsidRDefault="00164273" w:rsidP="00164273">
      <w:pPr>
        <w:jc w:val="both"/>
        <w:rPr>
          <w:sz w:val="20"/>
          <w:szCs w:val="20"/>
        </w:rPr>
      </w:pPr>
    </w:p>
    <w:p w14:paraId="6EB42089" w14:textId="77777777"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4816BA2F" w14:textId="77777777" w:rsidR="00164273" w:rsidRPr="00444B17" w:rsidRDefault="00164273" w:rsidP="00164273">
      <w:pPr>
        <w:jc w:val="both"/>
        <w:rPr>
          <w:sz w:val="20"/>
          <w:szCs w:val="20"/>
        </w:rPr>
      </w:pPr>
    </w:p>
    <w:p w14:paraId="0F511F35" w14:textId="77777777" w:rsidR="00A04479" w:rsidRPr="00444B17" w:rsidRDefault="00C12AC8" w:rsidP="00164273">
      <w:pPr>
        <w:jc w:val="both"/>
        <w:rPr>
          <w:sz w:val="20"/>
          <w:szCs w:val="20"/>
        </w:rPr>
      </w:pPr>
      <w:r w:rsidRPr="00444B17">
        <w:rPr>
          <w:rFonts w:ascii="Times New Roman" w:eastAsia="Times New Roman" w:hAnsi="Times New Roman"/>
          <w:sz w:val="20"/>
          <w:szCs w:val="2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prioritisation, not autonomous denial of education or services, and it must not frame financial disadvantage as a personal obligation.</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3626FC69"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7. Feasibility and Model Complexity</w:t>
      </w:r>
    </w:p>
    <w:p w14:paraId="10AE1EEA" w14:textId="3C7F8B50" w:rsidR="00A04479" w:rsidRPr="00444B17" w:rsidRDefault="008A73EA" w:rsidP="008A73EA">
      <w:pPr>
        <w:jc w:val="both"/>
        <w:rPr>
          <w:sz w:val="20"/>
          <w:szCs w:val="20"/>
        </w:rPr>
      </w:pP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3.3e-16, and global term strengths plus fixed low-, median- and high-risk local decompositions are exported. Logistic regression and the depth-3 tree provide further </w:t>
      </w:r>
      <w:proofErr w:type="spellStart"/>
      <w:r w:rsidRPr="008A73EA">
        <w:rPr>
          <w:rFonts w:ascii="Times New Roman" w:eastAsia="Times New Roman" w:hAnsi="Times New Roman" w:cs="Times New Roman"/>
          <w:sz w:val="20"/>
          <w:szCs w:val="20"/>
        </w:rPr>
        <w:t>simulatable</w:t>
      </w:r>
      <w:proofErr w:type="spellEnd"/>
      <w:r w:rsidRPr="008A73EA">
        <w:rPr>
          <w:rFonts w:ascii="Times New Roman" w:eastAsia="Times New Roman" w:hAnsi="Times New Roman" w:cs="Times New Roman"/>
          <w:sz w:val="20"/>
          <w:szCs w:val="20"/>
        </w:rPr>
        <w:t xml:space="preserve"> comparisons. </w:t>
      </w:r>
      <w:proofErr w:type="spellStart"/>
      <w:r w:rsidRPr="008A73EA">
        <w:rPr>
          <w:rFonts w:ascii="Times New Roman" w:eastAsia="Times New Roman" w:hAnsi="Times New Roman" w:cs="Times New Roman"/>
          <w:sz w:val="20"/>
          <w:szCs w:val="20"/>
        </w:rPr>
        <w:t>TabICL's</w:t>
      </w:r>
      <w:proofErr w:type="spellEnd"/>
      <w:r w:rsidRPr="008A73EA">
        <w:rPr>
          <w:rFonts w:ascii="Times New Roman" w:eastAsia="Times New Roman" w:hAnsi="Times New Roman" w:cs="Times New Roman"/>
          <w:sz w:val="20"/>
          <w:szCs w:val="20"/>
        </w:rPr>
        <w:t xml:space="preserve"> validation ROC-AUC exceeds EBM by only 0.006, so the project does not presume that complexity is operationally justified; final same-test-set performance, calibration, runtime and explanation evidence will determine whether </w:t>
      </w: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remains a research comparison or EBM is the more defensible deployment candidate.</w:t>
      </w:r>
    </w:p>
    <w:p w14:paraId="02E4B786"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8. Reproducibility and Documentation</w:t>
      </w:r>
    </w:p>
    <w:p w14:paraId="7F9BED35" w14:textId="73E06040"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repository separates source data, EDA, modelling, explanation evaluation, study materials and outputs. A pinned environment supports a fresh clone. Seed 42 and source-row IDs define the split; protocol 1.3, 26 in-scope tests, four baselines, capacity-consistent recourse, exact EBM decomposition,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1BE80A4F"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9. Expected Contribution, Limitations and Contingencies</w:t>
      </w:r>
    </w:p>
    <w:p w14:paraId="2FE03C83" w14:textId="77777777" w:rsidR="00A04479" w:rsidRPr="00444B17" w:rsidRDefault="00C12AC8" w:rsidP="00164273">
      <w:pPr>
        <w:jc w:val="both"/>
        <w:rPr>
          <w:sz w:val="20"/>
          <w:szCs w:val="20"/>
        </w:rPr>
      </w:pPr>
      <w:r w:rsidRPr="00444B17">
        <w:rPr>
          <w:rFonts w:ascii="Times New Roman" w:eastAsia="Times New Roman" w:hAnsi="Times New Roman"/>
          <w:sz w:val="20"/>
          <w:szCs w:val="20"/>
        </w:rPr>
        <w:t>The proposed contribution will extend beyond accuracy by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TabICL, explanations are unstable or unfaithful, participants gain no benefit, or feasible recourse is unavailable. Explanations describe model associations, not causal diagnoses or guaranteed intervention benefits, and real-data predictive evidence, explanation audits and human-study findings will not be merged into a single claim.</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0C5E6A9F" w14:textId="77777777" w:rsidR="00444B17" w:rsidRPr="00444B17" w:rsidRDefault="00444B17" w:rsidP="00164273">
      <w:pPr>
        <w:jc w:val="both"/>
        <w:rPr>
          <w:rFonts w:ascii="Times New Roman" w:eastAsia="Times New Roman" w:hAnsi="Times New Roman"/>
        </w:rPr>
      </w:pPr>
    </w:p>
    <w:p w14:paraId="4BCB5A94" w14:textId="0C777174" w:rsidR="004A0DFA" w:rsidRPr="003B5278" w:rsidRDefault="00C12AC8" w:rsidP="00164273">
      <w:pPr>
        <w:jc w:val="both"/>
        <w:rPr>
          <w:rFonts w:ascii="Times New Roman" w:hAnsi="Times New Roman" w:cs="Times New Roman"/>
          <w:sz w:val="18"/>
          <w:szCs w:val="18"/>
        </w:rPr>
      </w:pPr>
      <w:r w:rsidRPr="003B5278">
        <w:rPr>
          <w:rFonts w:ascii="Times New Roman" w:eastAsia="Times New Roman" w:hAnsi="Times New Roman" w:cs="Times New Roman"/>
          <w:b/>
          <w:bCs/>
          <w:sz w:val="18"/>
          <w:szCs w:val="18"/>
        </w:rPr>
        <w:t>Code</w:t>
      </w:r>
      <w:r w:rsidR="00444B17" w:rsidRPr="003B5278">
        <w:rPr>
          <w:rFonts w:ascii="Times New Roman" w:eastAsia="Times New Roman" w:hAnsi="Times New Roman" w:cs="Times New Roman"/>
          <w:b/>
          <w:bCs/>
          <w:sz w:val="18"/>
          <w:szCs w:val="18"/>
        </w:rPr>
        <w:t xml:space="preserve"> </w:t>
      </w:r>
      <w:r w:rsidRPr="003B5278">
        <w:rPr>
          <w:rFonts w:ascii="Times New Roman" w:eastAsia="Times New Roman" w:hAnsi="Times New Roman" w:cs="Times New Roman"/>
          <w:b/>
          <w:bCs/>
          <w:sz w:val="18"/>
          <w:szCs w:val="18"/>
        </w:rPr>
        <w:t>and data availability.</w:t>
      </w:r>
      <w:r w:rsidRPr="003B5278">
        <w:rPr>
          <w:rFonts w:ascii="Times New Roman" w:eastAsia="Times New Roman" w:hAnsi="Times New Roman" w:cs="Times New Roman"/>
          <w:sz w:val="18"/>
          <w:szCs w:val="18"/>
        </w:rPr>
        <w:t xml:space="preserve"> The versioned project repository is available at </w:t>
      </w:r>
      <w:hyperlink r:id="rId7" w:history="1">
        <w:r w:rsidR="004A0DFA" w:rsidRPr="003B5278">
          <w:rPr>
            <w:rStyle w:val="Hyperlink"/>
            <w:rFonts w:ascii="Times New Roman" w:hAnsi="Times New Roman" w:cs="Times New Roman"/>
            <w:sz w:val="18"/>
            <w:szCs w:val="18"/>
          </w:rPr>
          <w:t>https://github.com/TheInterpreters/Student-Dropout-Risk</w:t>
        </w:r>
      </w:hyperlink>
    </w:p>
    <w:p w14:paraId="487E2FD4" w14:textId="4F0715A7" w:rsidR="00A04479" w:rsidRPr="003B5278" w:rsidRDefault="00C12AC8" w:rsidP="00164273">
      <w:pPr>
        <w:jc w:val="both"/>
        <w:rPr>
          <w:rFonts w:ascii="Times New Roman" w:eastAsia="Times New Roman" w:hAnsi="Times New Roman"/>
          <w:sz w:val="18"/>
          <w:szCs w:val="18"/>
        </w:rPr>
      </w:pPr>
      <w:r w:rsidRPr="003B5278">
        <w:rPr>
          <w:rFonts w:ascii="Times New Roman" w:eastAsia="Times New Roman" w:hAnsi="Times New Roman"/>
          <w:sz w:val="18"/>
          <w:szCs w:val="18"/>
        </w:rPr>
        <w:t xml:space="preserve"> </w:t>
      </w:r>
    </w:p>
    <w:p w14:paraId="5C85CE28" w14:textId="77777777" w:rsidR="00444B17" w:rsidRPr="00736E2C" w:rsidRDefault="00444B17" w:rsidP="00164273">
      <w:pPr>
        <w:pageBreakBefore/>
        <w:jc w:val="both"/>
        <w:rPr>
          <w:rFonts w:ascii="Times New Roman" w:hAnsi="Times New Roman" w:cs="Times New Roman"/>
          <w:b/>
          <w:bCs/>
        </w:rPr>
      </w:pPr>
      <w:r w:rsidRPr="00736E2C">
        <w:rPr>
          <w:rFonts w:ascii="Times New Roman" w:hAnsi="Times New Roman" w:cs="Times New Roman"/>
          <w:b/>
          <w:bCs/>
        </w:rPr>
        <w:t>References</w:t>
      </w:r>
    </w:p>
    <w:p w14:paraId="1442C04F" w14:textId="77777777" w:rsidR="00444B17" w:rsidRPr="00736E2C" w:rsidRDefault="00444B17" w:rsidP="00164273">
      <w:pPr>
        <w:jc w:val="both"/>
        <w:rPr>
          <w:rFonts w:ascii="Times New Roman" w:hAnsi="Times New Roman" w:cs="Times New Roman"/>
          <w:b/>
          <w:bCs/>
          <w:sz w:val="18"/>
          <w:szCs w:val="18"/>
        </w:rPr>
      </w:pPr>
    </w:p>
    <w:p w14:paraId="5FD8593C"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Vieira Martins, M., Machado, J., &amp; Baptista, L. (2021). Predict Students’ Dropout and Academic Success [Dataset]. UCI Machine Learning Repository. </w:t>
      </w:r>
      <w:hyperlink r:id="rId8" w:history="1">
        <w:r w:rsidRPr="003B5278">
          <w:rPr>
            <w:rStyle w:val="Hyperlink"/>
            <w:rFonts w:ascii="Times New Roman" w:hAnsi="Times New Roman" w:cs="Times New Roman"/>
            <w:sz w:val="16"/>
            <w:szCs w:val="16"/>
          </w:rPr>
          <w:t>https://doi.org/10.24432/C5MC89</w:t>
        </w:r>
      </w:hyperlink>
    </w:p>
    <w:p w14:paraId="09E43807"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Machado, J., Baptista, L., &amp; Martins, M. V. (2022). Predicting student dropout and academic success. Data, 7(11), 146. </w:t>
      </w:r>
      <w:hyperlink r:id="rId9" w:history="1">
        <w:r w:rsidRPr="003B5278">
          <w:rPr>
            <w:rStyle w:val="Hyperlink"/>
            <w:rFonts w:ascii="Times New Roman" w:hAnsi="Times New Roman" w:cs="Times New Roman"/>
            <w:sz w:val="16"/>
            <w:szCs w:val="16"/>
          </w:rPr>
          <w:t>https://doi.org/10.3390/data7110146</w:t>
        </w:r>
      </w:hyperlink>
    </w:p>
    <w:p w14:paraId="1346273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Hollmann, N., Müller, S., Purucker, L., Krishnakumar, A., </w:t>
      </w:r>
      <w:proofErr w:type="spellStart"/>
      <w:r w:rsidRPr="003B5278">
        <w:rPr>
          <w:rFonts w:ascii="Times New Roman" w:hAnsi="Times New Roman" w:cs="Times New Roman"/>
          <w:sz w:val="16"/>
          <w:szCs w:val="16"/>
        </w:rPr>
        <w:t>Körfer</w:t>
      </w:r>
      <w:proofErr w:type="spellEnd"/>
      <w:r w:rsidRPr="003B5278">
        <w:rPr>
          <w:rFonts w:ascii="Times New Roman" w:hAnsi="Times New Roman" w:cs="Times New Roman"/>
          <w:sz w:val="16"/>
          <w:szCs w:val="16"/>
        </w:rPr>
        <w:t xml:space="preserve">, M., Hoo, S. B., </w:t>
      </w:r>
      <w:proofErr w:type="spellStart"/>
      <w:r w:rsidRPr="003B5278">
        <w:rPr>
          <w:rFonts w:ascii="Times New Roman" w:hAnsi="Times New Roman" w:cs="Times New Roman"/>
          <w:sz w:val="16"/>
          <w:szCs w:val="16"/>
        </w:rPr>
        <w:t>Schirrmeister</w:t>
      </w:r>
      <w:proofErr w:type="spellEnd"/>
      <w:r w:rsidRPr="003B5278">
        <w:rPr>
          <w:rFonts w:ascii="Times New Roman" w:hAnsi="Times New Roman" w:cs="Times New Roman"/>
          <w:sz w:val="16"/>
          <w:szCs w:val="16"/>
        </w:rPr>
        <w:t xml:space="preserve">, R. T., &amp; Hutter, F. (2025). Accurate predictions on small data with a tabular foundation model. Nature, 637, 319–326. </w:t>
      </w:r>
      <w:hyperlink r:id="rId10" w:history="1">
        <w:r w:rsidRPr="003B5278">
          <w:rPr>
            <w:rStyle w:val="Hyperlink"/>
            <w:rFonts w:ascii="Times New Roman" w:hAnsi="Times New Roman" w:cs="Times New Roman"/>
            <w:sz w:val="16"/>
            <w:szCs w:val="16"/>
          </w:rPr>
          <w:t>https://doi.org/10.1038/s41586-024-08328-6</w:t>
        </w:r>
      </w:hyperlink>
    </w:p>
    <w:p w14:paraId="055BCF3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Qu, J., </w:t>
      </w:r>
      <w:proofErr w:type="spellStart"/>
      <w:r w:rsidRPr="003B5278">
        <w:rPr>
          <w:rFonts w:ascii="Times New Roman" w:hAnsi="Times New Roman" w:cs="Times New Roman"/>
          <w:sz w:val="16"/>
          <w:szCs w:val="16"/>
        </w:rPr>
        <w:t>Holzmüller</w:t>
      </w:r>
      <w:proofErr w:type="spellEnd"/>
      <w:r w:rsidRPr="003B5278">
        <w:rPr>
          <w:rFonts w:ascii="Times New Roman" w:hAnsi="Times New Roman" w:cs="Times New Roman"/>
          <w:sz w:val="16"/>
          <w:szCs w:val="16"/>
        </w:rPr>
        <w:t xml:space="preserve">, D., </w:t>
      </w:r>
      <w:proofErr w:type="spellStart"/>
      <w:r w:rsidRPr="003B5278">
        <w:rPr>
          <w:rFonts w:ascii="Times New Roman" w:hAnsi="Times New Roman" w:cs="Times New Roman"/>
          <w:sz w:val="16"/>
          <w:szCs w:val="16"/>
        </w:rPr>
        <w:t>Varoquaux</w:t>
      </w:r>
      <w:proofErr w:type="spellEnd"/>
      <w:r w:rsidRPr="003B5278">
        <w:rPr>
          <w:rFonts w:ascii="Times New Roman" w:hAnsi="Times New Roman" w:cs="Times New Roman"/>
          <w:sz w:val="16"/>
          <w:szCs w:val="16"/>
        </w:rPr>
        <w:t xml:space="preserve">, G., &amp; Le Morvan, M. (2025). </w:t>
      </w:r>
      <w:proofErr w:type="spellStart"/>
      <w:r w:rsidRPr="003B5278">
        <w:rPr>
          <w:rFonts w:ascii="Times New Roman" w:hAnsi="Times New Roman" w:cs="Times New Roman"/>
          <w:sz w:val="16"/>
          <w:szCs w:val="16"/>
        </w:rPr>
        <w:t>TabICL</w:t>
      </w:r>
      <w:proofErr w:type="spellEnd"/>
      <w:r w:rsidRPr="003B5278">
        <w:rPr>
          <w:rFonts w:ascii="Times New Roman" w:hAnsi="Times New Roman" w:cs="Times New Roman"/>
          <w:sz w:val="16"/>
          <w:szCs w:val="16"/>
        </w:rPr>
        <w:t xml:space="preserve">: A tabular foundation model for in-context learning on large data. Proceedings of the 42nd International Conference on Machine Learning, PMLR 267, 50817–50847. </w:t>
      </w:r>
      <w:hyperlink r:id="rId11" w:history="1">
        <w:r w:rsidRPr="003B5278">
          <w:rPr>
            <w:rStyle w:val="Hyperlink"/>
            <w:rFonts w:ascii="Times New Roman" w:hAnsi="Times New Roman" w:cs="Times New Roman"/>
            <w:sz w:val="16"/>
            <w:szCs w:val="16"/>
          </w:rPr>
          <w:t>https://proceedings.mlr.press/v267/qu25d.html</w:t>
        </w:r>
      </w:hyperlink>
    </w:p>
    <w:p w14:paraId="2E2A119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Lou, Y., Caruana, R., Gehrke, J., &amp; Hooker, G. (2013). Accurate intelligible models with pairwise interactions. Proceedings of the 19th ACM SIGKDD International Conference on Knowledge Discovery and Data Mining, 623–631. </w:t>
      </w:r>
      <w:hyperlink r:id="rId12" w:history="1">
        <w:r w:rsidRPr="003B5278">
          <w:rPr>
            <w:rStyle w:val="Hyperlink"/>
            <w:rFonts w:ascii="Times New Roman" w:hAnsi="Times New Roman" w:cs="Times New Roman"/>
            <w:sz w:val="16"/>
            <w:szCs w:val="16"/>
          </w:rPr>
          <w:t>https://doi.org/10.1145/2487575.2487579</w:t>
        </w:r>
      </w:hyperlink>
    </w:p>
    <w:p w14:paraId="1EF234D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Lundberg, S. M., &amp; Lee, S.-I. (2017). A unified approach to interpreting model predictions. Advances in Neural Information Processing Systems, 30, 4765–4774. </w:t>
      </w:r>
      <w:hyperlink r:id="rId13" w:history="1">
        <w:r w:rsidRPr="003B5278">
          <w:rPr>
            <w:rStyle w:val="Hyperlink"/>
            <w:rFonts w:ascii="Times New Roman" w:hAnsi="Times New Roman" w:cs="Times New Roman"/>
            <w:sz w:val="16"/>
            <w:szCs w:val="16"/>
          </w:rPr>
          <w:t>https://proceedings.neurips.cc/paper/2017/hash/8a20a8621978632d76c43dfd28b67767-Abstract.html</w:t>
        </w:r>
      </w:hyperlink>
    </w:p>
    <w:p w14:paraId="4CE2B5AF"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Nauta, M., Trienes, J., Pathak, S., Nguyen, E., Peters, M., Schmitt, Y., </w:t>
      </w:r>
      <w:proofErr w:type="spellStart"/>
      <w:r w:rsidRPr="003B5278">
        <w:rPr>
          <w:rFonts w:ascii="Times New Roman" w:hAnsi="Times New Roman" w:cs="Times New Roman"/>
          <w:sz w:val="16"/>
          <w:szCs w:val="16"/>
        </w:rPr>
        <w:t>Schlötterer</w:t>
      </w:r>
      <w:proofErr w:type="spellEnd"/>
      <w:r w:rsidRPr="003B5278">
        <w:rPr>
          <w:rFonts w:ascii="Times New Roman" w:hAnsi="Times New Roman" w:cs="Times New Roman"/>
          <w:sz w:val="16"/>
          <w:szCs w:val="16"/>
        </w:rPr>
        <w:t xml:space="preserve">, J., van Keulen, M., &amp; Seifert, C. (2023). From anecdotal evidence to quantitative evaluation methods: A systematic review on evaluating explainable AI. ACM Computing Surveys, 55(13s), Article 295. </w:t>
      </w:r>
      <w:hyperlink r:id="rId14" w:history="1">
        <w:r w:rsidRPr="003B5278">
          <w:rPr>
            <w:rStyle w:val="Hyperlink"/>
            <w:rFonts w:ascii="Times New Roman" w:hAnsi="Times New Roman" w:cs="Times New Roman"/>
            <w:sz w:val="16"/>
            <w:szCs w:val="16"/>
          </w:rPr>
          <w:t>https://doi.org/10.1145/3583558</w:t>
        </w:r>
      </w:hyperlink>
    </w:p>
    <w:p w14:paraId="3060EBA4"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3B5278">
          <w:rPr>
            <w:rStyle w:val="Hyperlink"/>
            <w:rFonts w:ascii="Times New Roman" w:hAnsi="Times New Roman" w:cs="Times New Roman"/>
            <w:sz w:val="16"/>
            <w:szCs w:val="16"/>
          </w:rPr>
          <w:t>https://doi.org/10.18653/v1/2020.acl-main.491</w:t>
        </w:r>
      </w:hyperlink>
    </w:p>
    <w:p w14:paraId="113CD018"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Karimi, A.-H., </w:t>
      </w:r>
      <w:proofErr w:type="spellStart"/>
      <w:r w:rsidRPr="003B5278">
        <w:rPr>
          <w:rFonts w:ascii="Times New Roman" w:hAnsi="Times New Roman" w:cs="Times New Roman"/>
          <w:sz w:val="16"/>
          <w:szCs w:val="16"/>
        </w:rPr>
        <w:t>Schölkopf</w:t>
      </w:r>
      <w:proofErr w:type="spellEnd"/>
      <w:r w:rsidRPr="003B5278">
        <w:rPr>
          <w:rFonts w:ascii="Times New Roman" w:hAnsi="Times New Roman" w:cs="Times New Roman"/>
          <w:sz w:val="16"/>
          <w:szCs w:val="16"/>
        </w:rPr>
        <w:t xml:space="preserve">, B., &amp; Valera, I. (2021). Algorithmic recourse: From counterfactual explanations to interventions. Proceedings of the 2021 ACM Conference on Fairness, Accountability, and Transparency, 353–362. </w:t>
      </w:r>
      <w:hyperlink r:id="rId16" w:history="1">
        <w:r w:rsidRPr="003B5278">
          <w:rPr>
            <w:rStyle w:val="Hyperlink"/>
            <w:rFonts w:ascii="Times New Roman" w:hAnsi="Times New Roman" w:cs="Times New Roman"/>
            <w:sz w:val="16"/>
            <w:szCs w:val="16"/>
          </w:rPr>
          <w:t>https://doi.org/10.1145/3442188.3445899</w:t>
        </w:r>
      </w:hyperlink>
    </w:p>
    <w:p w14:paraId="366635E8" w14:textId="0DF42552"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Tiukhova, E., Vemuri, P., López Flores, N., </w:t>
      </w:r>
      <w:proofErr w:type="spellStart"/>
      <w:r w:rsidRPr="003B5278">
        <w:rPr>
          <w:rFonts w:ascii="Times New Roman" w:hAnsi="Times New Roman" w:cs="Times New Roman"/>
          <w:sz w:val="16"/>
          <w:szCs w:val="16"/>
        </w:rPr>
        <w:t>Islind</w:t>
      </w:r>
      <w:proofErr w:type="spellEnd"/>
      <w:r w:rsidRPr="003B5278">
        <w:rPr>
          <w:rFonts w:ascii="Times New Roman" w:hAnsi="Times New Roman" w:cs="Times New Roman"/>
          <w:sz w:val="16"/>
          <w:szCs w:val="16"/>
        </w:rPr>
        <w:t xml:space="preserve">, A. S., Óskarsdóttir, M., Poelmans, S., </w:t>
      </w:r>
      <w:proofErr w:type="spellStart"/>
      <w:r w:rsidRPr="003B5278">
        <w:rPr>
          <w:rFonts w:ascii="Times New Roman" w:hAnsi="Times New Roman" w:cs="Times New Roman"/>
          <w:sz w:val="16"/>
          <w:szCs w:val="16"/>
        </w:rPr>
        <w:t>Baesens</w:t>
      </w:r>
      <w:proofErr w:type="spellEnd"/>
      <w:r w:rsidRPr="003B5278">
        <w:rPr>
          <w:rFonts w:ascii="Times New Roman" w:hAnsi="Times New Roman" w:cs="Times New Roman"/>
          <w:sz w:val="16"/>
          <w:szCs w:val="16"/>
        </w:rPr>
        <w:t xml:space="preserve">, B., &amp; </w:t>
      </w:r>
      <w:proofErr w:type="spellStart"/>
      <w:r w:rsidRPr="003B5278">
        <w:rPr>
          <w:rFonts w:ascii="Times New Roman" w:hAnsi="Times New Roman" w:cs="Times New Roman"/>
          <w:sz w:val="16"/>
          <w:szCs w:val="16"/>
        </w:rPr>
        <w:t>Snoeck</w:t>
      </w:r>
      <w:proofErr w:type="spellEnd"/>
      <w:r w:rsidRPr="003B5278">
        <w:rPr>
          <w:rFonts w:ascii="Times New Roman" w:hAnsi="Times New Roman" w:cs="Times New Roman"/>
          <w:sz w:val="16"/>
          <w:szCs w:val="16"/>
        </w:rPr>
        <w:t xml:space="preserve">, M. (2024). Explainable learning analytics: Assessing the stability of student success prediction models by means of explainable AI. Decision Support Systems, 182, 114229. </w:t>
      </w:r>
      <w:hyperlink r:id="rId17" w:history="1">
        <w:r w:rsidRPr="003B5278">
          <w:rPr>
            <w:rStyle w:val="Hyperlink"/>
            <w:rFonts w:ascii="Times New Roman" w:hAnsi="Times New Roman" w:cs="Times New Roman"/>
            <w:sz w:val="16"/>
            <w:szCs w:val="16"/>
          </w:rPr>
          <w:t>https://doi.org/10.1016/j.dss.2024.114229</w:t>
        </w:r>
      </w:hyperlink>
    </w:p>
    <w:sectPr w:rsidR="00444B17" w:rsidRPr="003B5278">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6AEDF" w14:textId="77777777" w:rsidR="007B5777" w:rsidRDefault="007B5777" w:rsidP="00444B17">
      <w:r>
        <w:separator/>
      </w:r>
    </w:p>
  </w:endnote>
  <w:endnote w:type="continuationSeparator" w:id="0">
    <w:p w14:paraId="50647E1C" w14:textId="77777777" w:rsidR="007B5777" w:rsidRDefault="007B5777" w:rsidP="00444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EB6794B-9823-41C0-A7EC-58A7D5D1B1F2}"/>
    <w:embedBold r:id="rId2" w:fontKey="{D1940E4E-F72C-49D7-BD05-0B04B70480DF}"/>
    <w:embedItalic r:id="rId3" w:fontKey="{E3423D44-AE14-4279-8842-89BFE8BB5230}"/>
    <w:embedBoldItalic r:id="rId4" w:fontKey="{95752A2E-9735-47AA-BB35-22F5D4D60BB2}"/>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5" w:fontKey="{896AA474-B632-418C-9839-DB6A28A018DC}"/>
    <w:embedBold r:id="rId6" w:fontKey="{D8162A9B-D1C2-40FC-8658-FE4C2E69454C}"/>
    <w:embedItalic r:id="rId7" w:fontKey="{62932AAC-B993-4C68-B9E2-96435B036199}"/>
    <w:embedBoldItalic r:id="rId8" w:fontKey="{043FBA74-1617-46EC-B44A-18D978A8C81A}"/>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9" w:fontKey="{30A24456-A279-4B77-9496-E5C1AC9C757C}"/>
  </w:font>
  <w:font w:name="Cordia New">
    <w:panose1 w:val="020B0304020202020204"/>
    <w:charset w:val="00"/>
    <w:family w:val="swiss"/>
    <w:pitch w:val="variable"/>
    <w:sig w:usb0="81000003" w:usb1="00000000" w:usb2="00000000" w:usb3="00000000" w:csb0="00010001" w:csb1="00000000"/>
    <w:embedRegular r:id="rId10" w:fontKey="{6B0A8251-CF33-4101-8AC7-6D10FB44C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590640"/>
      <w:docPartObj>
        <w:docPartGallery w:val="Page Numbers (Bottom of Page)"/>
        <w:docPartUnique/>
      </w:docPartObj>
    </w:sdtPr>
    <w:sdtEndPr>
      <w:rPr>
        <w:color w:val="7F7F7F" w:themeColor="background1" w:themeShade="7F"/>
        <w:spacing w:val="60"/>
      </w:rPr>
    </w:sdtEndPr>
    <w:sdtContent>
      <w:p w14:paraId="74DC29FE" w14:textId="26F04541" w:rsidR="00444B17" w:rsidRDefault="00444B1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C9435E1" w14:textId="77777777" w:rsidR="00444B17" w:rsidRDefault="00444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7AC8" w14:textId="77777777" w:rsidR="007B5777" w:rsidRDefault="007B5777" w:rsidP="00444B17">
      <w:r>
        <w:separator/>
      </w:r>
    </w:p>
  </w:footnote>
  <w:footnote w:type="continuationSeparator" w:id="0">
    <w:p w14:paraId="00B19393" w14:textId="77777777" w:rsidR="007B5777" w:rsidRDefault="007B5777" w:rsidP="00444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260B0"/>
    <w:multiLevelType w:val="multilevel"/>
    <w:tmpl w:val="0D1428B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6053091">
    <w:abstractNumId w:val="0"/>
  </w:num>
  <w:num w:numId="2" w16cid:durableId="1573389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3275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06998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68765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03937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479"/>
    <w:rsid w:val="00085C76"/>
    <w:rsid w:val="00164273"/>
    <w:rsid w:val="002339CF"/>
    <w:rsid w:val="00267727"/>
    <w:rsid w:val="00270273"/>
    <w:rsid w:val="002C532D"/>
    <w:rsid w:val="00362165"/>
    <w:rsid w:val="003B5278"/>
    <w:rsid w:val="003F0597"/>
    <w:rsid w:val="004043AE"/>
    <w:rsid w:val="004307CF"/>
    <w:rsid w:val="00442622"/>
    <w:rsid w:val="00444B17"/>
    <w:rsid w:val="004A0DFA"/>
    <w:rsid w:val="00645548"/>
    <w:rsid w:val="00741DD2"/>
    <w:rsid w:val="007B5777"/>
    <w:rsid w:val="008A73EA"/>
    <w:rsid w:val="008C421D"/>
    <w:rsid w:val="008F355A"/>
    <w:rsid w:val="009E2A0C"/>
    <w:rsid w:val="00A04479"/>
    <w:rsid w:val="00C12AC8"/>
    <w:rsid w:val="00C63AD5"/>
    <w:rsid w:val="00D37A8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0282E"/>
  <w15:docId w15:val="{C688072B-313B-4559-BB59-6442EAFED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444B17"/>
    <w:rPr>
      <w:color w:val="0000FF" w:themeColor="hyperlink"/>
      <w:u w:val="single"/>
    </w:rPr>
  </w:style>
  <w:style w:type="character" w:styleId="UnresolvedMention">
    <w:name w:val="Unresolved Mention"/>
    <w:basedOn w:val="DefaultParagraphFont"/>
    <w:uiPriority w:val="99"/>
    <w:semiHidden/>
    <w:unhideWhenUsed/>
    <w:rsid w:val="00444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Student-Dropout-Risk"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3486</Words>
  <Characters>19871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Khin Hpone</cp:lastModifiedBy>
  <cp:revision>7</cp:revision>
  <dcterms:created xsi:type="dcterms:W3CDTF">2026-10-09T18:53:00Z</dcterms:created>
  <dcterms:modified xsi:type="dcterms:W3CDTF">2026-10-09T19:29:00Z</dcterms:modified>
</cp:coreProperties>
</file>