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both"/>
        <w:rPr/>
      </w:pPr>
      <w:r w:rsidDel="00000000" w:rsidR="00000000" w:rsidRPr="00000000">
        <w:rPr>
          <w:rFonts w:ascii="Times New Roman" w:hAnsi="Times New Roman" w:eastAsia="Times New Roman"/>
          <w:b w:val="0"/>
          <w:bCs w:val="1"/>
          <w:i w:val="0"/>
          <w:color w:val="2c5f8a"/>
          <w:sz w:val="22"/>
          <w:szCs w:val="40"/>
          <w:rtl w:val="0"/>
        </w:rPr>
        <w:t>Trustworthy Explanations for Student Dropout Risk: Comparing Black-Box and Interpretable Models</w:t>
      </w:r>
      <w:r w:rsidDel="00000000" w:rsidR="00000000" w:rsidRPr="00000000">
        <w:rPr>
          <w:rFonts w:ascii="Times New Roman" w:hAnsi="Times New Roman" w:eastAsia="Times New Roman"/>
          <w:b w:val="0"/>
          <w:i w:val="0"/>
          <w:sz w:val="22"/>
          <w:rtl w:val="0"/>
        </w:rPr>
      </w:r>
    </w:p>
    <w:p w:rsidR="00000000" w:rsidDel="00000000" w:rsidP="00000000" w:rsidRDefault="00000000" w:rsidRPr="00000000" w14:paraId="00000004">
      <w:pPr>
        <w:spacing w:after="80" w:lineRule="auto"/>
        <w:jc w:val="both"/>
        <w:rPr/>
      </w:pPr>
      <w:r w:rsidDel="00000000" w:rsidR="00000000" w:rsidRPr="00000000">
        <w:rPr>
          <w:rFonts w:ascii="Times New Roman" w:hAnsi="Times New Roman" w:eastAsia="Times New Roman"/>
          <w:b w:val="0"/>
          <w:i w:val="0"/>
          <w:sz w:val="22"/>
          <w:rtl w:val="0"/>
        </w:rPr>
        <w:t>Aye Khin Khin Hpone (Yolanda) 125970; Nguyen Liem Son (Lucas) 126729; Witchayda Theppithuk (Noey) 127419; Han Htoo Zaw 127305; Pyae Sone Han 127366</w:t>
      </w:r>
    </w:p>
    <w:p w:rsidR="00000000" w:rsidDel="00000000" w:rsidP="00000000" w:rsidRDefault="00000000" w:rsidRPr="00000000" w14:paraId="0000000A">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1. Introduction, Aim and Research Questions</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0B">
      <w:pPr>
        <w:jc w:val="both"/>
        <w:rPr/>
      </w:pPr>
      <w:r w:rsidDel="00000000" w:rsidR="00000000" w:rsidRPr="00000000">
        <w:rPr>
          <w:rFonts w:ascii="Times New Roman" w:hAnsi="Times New Roman" w:eastAsia="Times New Roman"/>
          <w:b w:val="0"/>
          <w:i w:val="0"/>
          <w:sz w:val="22"/>
          <w:rtl w:val="0"/>
        </w:rPr>
        <w:t>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institutional data and TabICL,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RQ1: does TabICL add predictive value over simpler baselines; RQ2: are its local explanations faithful and stable; RQ3: do they help users anticipate model outputs and identify feasible support actions?</w:t>
      </w:r>
      <w:r w:rsidDel="00000000" w:rsidR="00000000" w:rsidRPr="00000000">
        <w:rPr>
          <w:rFonts w:ascii="Times New Roman" w:hAnsi="Times New Roman" w:eastAsia="Times New Roman"/>
          <w:b w:val="0"/>
          <w:i w:val="0"/>
          <w:sz w:val="22"/>
          <w:rtl w:val="0"/>
        </w:rPr>
      </w:r>
      <w:r w:rsidDel="00000000" w:rsidR="00000000" w:rsidRPr="00000000">
        <w:rPr>
          <w:rFonts w:ascii="Times New Roman" w:hAnsi="Times New Roman" w:eastAsia="Times New Roman"/>
          <w:b w:val="0"/>
          <w:i w:val="0"/>
          <w:sz w:val="22"/>
          <w:rtl w:val="0"/>
        </w:rPr>
      </w:r>
    </w:p>
    <w:p w:rsidR="00000000" w:rsidDel="00000000" w:rsidP="00000000" w:rsidRDefault="00000000" w:rsidRPr="00000000" w14:paraId="0000000C">
      <w:pPr>
        <w:jc w:val="both"/>
        <w:rPr/>
      </w:pPr>
      <w:sdt>
        <w:sdtPr>
          <w:id w:val="60917386"/>
          <w:tag w:val="goog_rdk_0"/>
        </w:sdtPr>
        <w:sdtContent/>
      </w:sdt>
      <w:r w:rsidDel="00000000" w:rsidR="00000000" w:rsidRPr="00000000">
        <w:rPr>
          <w:rFonts w:ascii="Times New Roman" w:hAnsi="Times New Roman" w:eastAsia="Times New Roman"/>
          <w:b w:val="0"/>
          <w:i w:val="0"/>
          <w:sz w:val="22"/>
          <w:rtl w:val="0"/>
        </w:rPr>
        <w:t>All predictive modelling and explanation evaluation will use one openly licensed UCI dataset. Short, consented written responses from the human evaluation will form the only unstructured component and will remain linked to the study cases. No external review corpus or second modelling dataset will be included, keeping the prediction task, explanations and human evidence coherently connected.</w:t>
      </w:r>
      <w:r w:rsidDel="00000000" w:rsidR="00000000" w:rsidRPr="00000000">
        <w:rPr>
          <w:rFonts w:ascii="Times New Roman" w:hAnsi="Times New Roman" w:eastAsia="Times New Roman"/>
          <w:b w:val="0"/>
          <w:i w:val="0"/>
          <w:sz w:val="22"/>
        </w:rPr>
      </w:r>
      <w:r w:rsidDel="00000000" w:rsidR="00000000" w:rsidRPr="00000000">
        <w:rPr>
          <w:rFonts w:ascii="Times New Roman" w:hAnsi="Times New Roman" w:eastAsia="Times New Roman"/>
          <w:b w:val="0"/>
          <w:i w:val="0"/>
          <w:sz w:val="22"/>
          <w:rtl w:val="0"/>
        </w:rPr>
      </w:r>
    </w:p>
    <w:p w:rsidR="00000000" w:rsidDel="00000000" w:rsidP="00000000" w:rsidRDefault="00000000" w:rsidRPr="00000000" w14:paraId="0000000D">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2. Decision Context and Intended User</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0E">
      <w:pPr>
        <w:jc w:val="both"/>
        <w:rPr/>
      </w:pPr>
      <w:r w:rsidDel="00000000" w:rsidR="00000000" w:rsidRPr="00000000">
        <w:rPr>
          <w:rFonts w:ascii="Times New Roman" w:hAnsi="Times New Roman" w:eastAsia="Times New Roman"/>
          <w:b w:val="0"/>
          <w:i w:val="0"/>
          <w:sz w:val="22"/>
          <w:rtl w:val="0"/>
        </w:rPr>
        <w:t>The explanation will be designed for a university student-support officer reviewing currently enrolled first-year students immediately after first-semester results are finalised and before second-semester support decisions. For a student flagged as high risk, the officer will decide whether to prioritise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rsidR="00000000" w:rsidDel="00000000" w:rsidP="00000000" w:rsidRDefault="00000000" w:rsidRPr="00000000" w14:paraId="0000000F">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3. Data Sources</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0">
      <w:pPr>
        <w:jc w:val="both"/>
        <w:rPr/>
      </w:pPr>
      <w:r w:rsidDel="00000000" w:rsidR="00000000" w:rsidRPr="00000000">
        <w:rPr>
          <w:rFonts w:ascii="Times New Roman" w:hAnsi="Times New Roman" w:eastAsia="Times New Roman"/>
          <w:b w:val="0"/>
          <w:i w:val="0"/>
          <w:sz w:val="22"/>
          <w:rtl w:val="0"/>
        </w:rPr>
        <w:t>Primary modelling data. ‘Predict Students’ Dropout and Academic Success’ (Realinho, Vieira Martins, Machado, &amp; Baptista, 2021), UCI Machine Learning Repository dataset 697, is distributed under CC BY 4.0 and documented in a peer-reviewed data paper (Realinho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rsidR="00000000" w:rsidDel="00000000" w:rsidP="00000000" w:rsidRDefault="00000000" w:rsidRPr="00000000" w14:paraId="00000011">
      <w:pPr>
        <w:jc w:val="both"/>
        <w:rPr/>
      </w:pPr>
      <w:r w:rsidDel="00000000" w:rsidR="00000000" w:rsidRPr="00000000">
        <w:rPr>
          <w:rFonts w:ascii="Times New Roman" w:hAnsi="Times New Roman" w:eastAsia="Times New Roman"/>
          <w:b w:val="0"/>
          <w:i w:val="0"/>
          <w:sz w:val="22"/>
          <w:rtl w:val="0"/>
        </w:rPr>
        <w:t>Prospective qualitative data. A voluntary convenience sample from the Asian Institute of Technology (AIT) community will provide brief written rationales, suggested support actions and comments on missing information while evaluating pseudonymised UCI cases. These consented, anonymised responses will form the project's only unstructured dataset, will remain linked only to study case IDs, and will be analysed qualitatively for comprehension, actionability and information gaps. No AIT student records will be collected, and responses will not enter the dropout model or be presented as explanations of real outcomes.</w:t>
      </w:r>
      <w:r w:rsidDel="00000000" w:rsidR="00000000" w:rsidRPr="00000000">
        <w:rPr>
          <w:rFonts w:ascii="Times New Roman" w:hAnsi="Times New Roman" w:eastAsia="Times New Roman"/>
          <w:b w:val="0"/>
          <w:i w:val="0"/>
          <w:iCs w:val="1"/>
          <w:sz w:val="22"/>
          <w:rtl w:val="0"/>
        </w:rPr>
      </w:r>
      <w:r w:rsidDel="00000000" w:rsidR="00000000" w:rsidRPr="00000000">
        <w:rPr>
          <w:rFonts w:ascii="Times New Roman" w:hAnsi="Times New Roman" w:eastAsia="Times New Roman"/>
          <w:b w:val="0"/>
          <w:i w:val="0"/>
          <w:sz w:val="22"/>
          <w:rtl w:val="0"/>
        </w:rPr>
      </w:r>
    </w:p>
    <w:p w:rsidR="00000000" w:rsidDel="00000000" w:rsidP="00000000" w:rsidRDefault="00000000" w:rsidRPr="00000000" w14:paraId="00000012">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4. Prediction Task and Study Design</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3">
      <w:pPr>
        <w:jc w:val="both"/>
        <w:rPr/>
      </w:pPr>
      <w:r w:rsidDel="00000000" w:rsidR="00000000" w:rsidRPr="00000000">
        <w:rPr>
          <w:rFonts w:ascii="Times New Roman" w:hAnsi="Times New Roman" w:eastAsia="Times New Roman"/>
          <w:b w:val="0"/>
          <w:i w:val="0"/>
          <w:sz w:val="22"/>
          <w:rtl w:val="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rsidR="00000000" w:rsidDel="00000000" w:rsidP="00000000" w:rsidRDefault="00000000" w:rsidRPr="00000000" w14:paraId="00000014">
      <w:pPr>
        <w:jc w:val="both"/>
        <w:rPr/>
      </w:pPr>
      <w:r w:rsidDel="00000000" w:rsidR="00000000" w:rsidRPr="00000000">
        <w:rPr>
          <w:rFonts w:ascii="Times New Roman" w:hAnsi="Times New Roman" w:eastAsia="Times New Roman"/>
          <w:b w:val="0"/>
          <w:i w:val="0"/>
          <w:sz w:val="22"/>
          <w:rtl w:val="0"/>
        </w:rPr>
        <w:t>The prediction time will be immediately after first-semester results. Only variables available by then will enter the model: enrolment/admission records, demographic and socio-economic fields, administrative status, macroeconomic indicators, and first-semester outcomes. Second-semester curricular variables will be excluded as temporal leakage. First-semester grades and approved units are predictive but already historical, so they will be treated as immutable in counterfactual recourse.</w:t>
      </w:r>
    </w:p>
    <w:p w:rsidR="00000000" w:rsidDel="00000000" w:rsidP="00000000" w:rsidRDefault="00000000" w:rsidRPr="00000000" w14:paraId="00000015">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5. Proposed Methodology</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6">
      <w:pPr>
        <w:pStyle w:val="Heading2"/>
        <w:spacing w:after="40" w:before="160" w:lineRule="auto"/>
        <w:jc w:val="left"/>
        <w:rPr/>
      </w:pPr>
      <w:r w:rsidDel="00000000" w:rsidR="00000000" w:rsidRPr="00000000">
        <w:rPr>
          <w:rFonts w:ascii="Times New Roman" w:hAnsi="Times New Roman" w:eastAsia="Times New Roman"/>
          <w:b/>
          <w:i w:val="0"/>
          <w:color w:val="1f2a44"/>
          <w:sz w:val="22"/>
          <w:szCs w:val="24"/>
          <w:rtl w:val="0"/>
        </w:rPr>
        <w:t>5.1  Predictive Modelling and Evaluation</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7">
      <w:pPr>
        <w:jc w:val="both"/>
        <w:rPr/>
      </w:pPr>
      <w:r w:rsidDel="00000000" w:rsidR="00000000" w:rsidRPr="00000000">
        <w:rPr>
          <w:rFonts w:ascii="Times New Roman" w:hAnsi="Times New Roman" w:eastAsia="Times New Roman"/>
          <w:b w:val="0"/>
          <w:i w:val="0"/>
          <w:sz w:val="22"/>
          <w:rtl w:val="0"/>
        </w:rPr>
        <w:t>A fixed, stratified 70/15/15 train/validation/test split supports identical comparisons. Before test access, protocol amendments added a native main-effects Explainable Boosting Machine (EBM) and froze all audit rules without changing the split, seed, target or feature windows. Validation ROC-AUC was 0.952 for TabICL 2.2.0 (four estimators), 0.946 for EBM, 0.945 for logistic regression and XGBoost, and 0.923 for a depth-3 tree: a modest complex-model gain, not superiority. EBM uses raw named variables, explicit nominal types and no interactions. The policy ranks each cohort and flags the top 20% with stable tie-breaking; no universal probability threshold is claimed. Among 213 validation dropouts and 108 available flags, TabICL attained the theoretical maximum 0.507 recall with 1.000 precision. At admission time, EBM (0.8753), XGBoost (0.8752) and TabICL (0.8739) were practically tied. One final same-test-set evaluation will report discrimination, capacity metrics, calibration, runtime and paired 2,000-resample bootstrap intervals for model differences.</w:t>
      </w:r>
    </w:p>
    <w:p w:rsidR="00000000" w:rsidDel="00000000" w:rsidP="00000000" w:rsidRDefault="00000000" w:rsidRPr="00000000" w14:paraId="00000018">
      <w:pPr>
        <w:pStyle w:val="Heading2"/>
        <w:spacing w:after="40" w:before="160" w:lineRule="auto"/>
        <w:jc w:val="left"/>
        <w:rPr/>
      </w:pPr>
      <w:r w:rsidDel="00000000" w:rsidR="00000000" w:rsidRPr="00000000">
        <w:rPr>
          <w:rFonts w:ascii="Times New Roman" w:hAnsi="Times New Roman" w:eastAsia="Times New Roman"/>
          <w:b/>
          <w:i w:val="0"/>
          <w:color w:val="1f2a44"/>
          <w:sz w:val="22"/>
          <w:szCs w:val="24"/>
          <w:rtl w:val="0"/>
        </w:rPr>
        <w:t>5.2  Explanation Method and Faithfulness Evaluation</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9">
      <w:pPr>
        <w:jc w:val="both"/>
        <w:rPr/>
      </w:pPr>
      <w:r w:rsidDel="00000000" w:rsidR="00000000" w:rsidRPr="00000000">
        <w:rPr>
          <w:rFonts w:ascii="Times New Roman" w:hAnsi="Times New Roman" w:eastAsia="Times New Roman"/>
          <w:b w:val="0"/>
          <w:i w:val="0"/>
          <w:sz w:val="22"/>
          <w:rtl w:val="0"/>
        </w:rPr>
        <w:t>As a TFM is not a tree ensemble, TreeSHAP exactness will not be claimed. Model-agnostic permutation SHAP (Lundberg &amp; Lee, 2017) will explain dropout probability using 25 training-only background rows and 67 evaluations. 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reliance, not intervention. Validation checks reconstructed TabICL probabilities within 4.1e-8 and recovered known white-box attribution ranks with Spearman 1.0. Grouped permutation importance will supply global reliance, while ALE will examine three validation-selected numerical effects with less off-manifold risk than PDP under correlation.</w:t>
      </w:r>
    </w:p>
    <w:p w:rsidR="00000000" w:rsidDel="00000000" w:rsidP="00000000" w:rsidRDefault="00000000" w:rsidRPr="00000000" w14:paraId="0000001A">
      <w:pPr>
        <w:pStyle w:val="Heading2"/>
        <w:spacing w:after="40" w:before="160" w:lineRule="auto"/>
        <w:jc w:val="left"/>
        <w:rPr/>
      </w:pPr>
      <w:r w:rsidDel="00000000" w:rsidR="00000000" w:rsidRPr="00000000">
        <w:rPr>
          <w:rFonts w:ascii="Times New Roman" w:hAnsi="Times New Roman" w:eastAsia="Times New Roman"/>
          <w:b/>
          <w:i w:val="0"/>
          <w:color w:val="1f2a44"/>
          <w:sz w:val="22"/>
          <w:szCs w:val="24"/>
          <w:rtl w:val="0"/>
        </w:rPr>
        <w:t>5.3  Explanation Stability Evaluation</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B">
      <w:pPr>
        <w:jc w:val="both"/>
        <w:rPr/>
      </w:pPr>
      <w:r w:rsidDel="00000000" w:rsidR="00000000" w:rsidRPr="00000000">
        <w:rPr>
          <w:rFonts w:ascii="Times New Roman" w:hAnsi="Times New Roman" w:eastAsia="Times New Roman"/>
          <w:b w:val="0"/>
          <w:i w:val="0"/>
          <w:sz w:val="22"/>
          <w:rtl w:val="0"/>
        </w:rPr>
        <w:t>The stability evaluation will deterministically select four cases from each of five predicted-risk strata (20 total) without labels.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(Tiukhova et al., 2024).</w:t>
      </w:r>
    </w:p>
    <w:p w:rsidR="00000000" w:rsidDel="00000000" w:rsidP="00000000" w:rsidRDefault="00000000" w:rsidRPr="00000000" w14:paraId="0000001C">
      <w:pPr>
        <w:pStyle w:val="Heading2"/>
        <w:spacing w:after="40" w:before="160" w:lineRule="auto"/>
        <w:jc w:val="left"/>
        <w:rPr/>
      </w:pPr>
      <w:r w:rsidDel="00000000" w:rsidR="00000000" w:rsidRPr="00000000">
        <w:rPr>
          <w:rFonts w:ascii="Times New Roman" w:hAnsi="Times New Roman" w:eastAsia="Times New Roman"/>
          <w:b/>
          <w:i w:val="0"/>
          <w:color w:val="1f2a44"/>
          <w:sz w:val="22"/>
          <w:szCs w:val="24"/>
          <w:rtl w:val="0"/>
        </w:rPr>
        <w:t>5.4  Human Evaluation</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D">
      <w:pPr>
        <w:jc w:val="both"/>
        <w:rPr/>
      </w:pPr>
      <w:r w:rsidDel="00000000" w:rsidR="00000000" w:rsidRPr="00000000">
        <w:rPr>
          <w:rFonts w:ascii="Times New Roman" w:hAnsi="Times New Roman" w:eastAsia="Times New Roman"/>
          <w:b w:val="0"/>
          <w:i w:val="0"/>
          <w:sz w:val="22"/>
          <w:rtl w:val="0"/>
        </w:rPr>
        <w:t>Following forward-simulation evaluation (Hase &amp; Bansal, 2020), the human study will aim to recruit 8–10 voluntary AIT participants. At least four participants will be required, and the achieved sample will be allocated as evenly as practicable between groups using seeded assignment. After standardised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w:t>
      </w:r>
    </w:p>
    <w:p w:rsidR="00000000" w:rsidDel="00000000" w:rsidP="00000000" w:rsidRDefault="00000000" w:rsidRPr="00000000" w14:paraId="0000001E">
      <w:pPr>
        <w:pStyle w:val="Heading2"/>
        <w:spacing w:after="40" w:before="160" w:lineRule="auto"/>
        <w:jc w:val="left"/>
        <w:rPr/>
      </w:pPr>
      <w:r w:rsidDel="00000000" w:rsidR="00000000" w:rsidRPr="00000000">
        <w:rPr>
          <w:rFonts w:ascii="Times New Roman" w:hAnsi="Times New Roman" w:eastAsia="Times New Roman"/>
          <w:b/>
          <w:i w:val="0"/>
          <w:color w:val="1f2a44"/>
          <w:sz w:val="22"/>
          <w:szCs w:val="24"/>
          <w:rtl w:val="0"/>
        </w:rPr>
        <w:t>5.5  Actionability and Counterfactual Analysis</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1F">
      <w:pPr>
        <w:jc w:val="both"/>
        <w:rPr/>
      </w:pPr>
      <w:r w:rsidDel="00000000" w:rsidR="00000000" w:rsidRPr="00000000">
        <w:rPr>
          <w:rFonts w:ascii="Times New Roman" w:hAnsi="Times New Roman" w:eastAsia="Times New Roman"/>
          <w:b w:val="0"/>
          <w:i w:val="0"/>
          <w:sz w:val="22"/>
          <w:rtl w:val="0"/>
        </w:rPr>
        <w:t>Before modelling, features will be classified by temporal availability and feasibility. Age, nationality, prior qualifications and completed first-semester outcomes will remain fixed. Potentially resolvable tuition or debt conditions may change only when realistic at the decision point, distinguishing institutional support from student-controlled action. For a flagged case, the search will find the smallest feasible change that moves it outside the cohort's top-20% set after recomputing its rank while all other scores stay fixed; no universal threshold will be assumed, and no-recourse cases will be explicit. These outputs will describe model behaviour, not causal promises (Karimi et al., 2021).</w:t>
      </w:r>
    </w:p>
    <w:p w:rsidR="00000000" w:rsidDel="00000000" w:rsidP="00000000" w:rsidRDefault="00000000" w:rsidRPr="00000000" w14:paraId="00000020">
      <w:pPr>
        <w:pStyle w:val="Heading2"/>
        <w:spacing w:after="40" w:before="160" w:lineRule="auto"/>
        <w:jc w:val="left"/>
        <w:rPr/>
      </w:pPr>
      <w:r w:rsidDel="00000000" w:rsidR="00000000" w:rsidRPr="00000000">
        <w:rPr>
          <w:rFonts w:ascii="Times New Roman" w:hAnsi="Times New Roman" w:eastAsia="Times New Roman"/>
          <w:b/>
          <w:i w:val="0"/>
          <w:color w:val="1f2a44"/>
          <w:sz w:val="22"/>
          <w:szCs w:val="24"/>
          <w:rtl w:val="0"/>
        </w:rPr>
        <w:t>5.6  System Architecture, Workflow and Expected Outputs</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21">
      <w:pPr>
        <w:jc w:val="both"/>
        <w:rPr/>
      </w:pPr>
      <w:r w:rsidDel="00000000" w:rsidR="00000000" w:rsidRPr="00000000">
        <w:rPr>
          <w:rFonts w:ascii="Times New Roman" w:hAnsi="Times New Roman" w:eastAsia="Times New Roman"/>
          <w:b w:val="0"/>
          <w:i w:val="0"/>
          <w:sz w:val="22"/>
          <w:rtl w:val="0"/>
        </w:rPr>
        <w:t>The end-to-end workflow will produce a frozen comparison of TabICL and its baselines, quantitative explanation evidence, constrained counterfactuals, subgroup diagnostics, human-evaluation findings, a completed model card and reproducible report artefacts. A lightweight browser-based research interface will provide two controlled modes: a decision-support demonstration showing the frozen prediction, local explanation, reliability warnings and feasible support options, and a blinded study view that will suppress the answer until the participant responds. Both modes will load the same versioned preprocessing and model artefacts used in evaluation as a research demonstration, not a production AIT service.</w:t>
      </w:r>
    </w:p>
    <w:tbl>
      <w:tblPr>
        <w:tblW w:type="auto" w:w="0"/>
        <w:jc w:val="center"/>
        <w:tblLayout w:type="fixed"/>
        <w:tblLook w:firstColumn="1" w:firstRow="1" w:lastColumn="0" w:lastRow="0" w:noHBand="0" w:noVBand="1" w:val="04A0"/>
      </w:tblPr>
      <w:tblGrid>
        <w:gridCol w:w="2664"/>
        <w:gridCol w:w="360"/>
        <w:gridCol w:w="2664"/>
        <w:gridCol w:w="360"/>
        <w:gridCol w:w="2664"/>
      </w:tblGrid>
      <w:tr>
        <w:trPr>
          <w:cantSplit/>
        </w:trPr>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rFonts w:ascii="Times New Roman" w:hAnsi="Times New Roman" w:eastAsia="Times New Roman"/>
                <w:b/>
                <w:color w:val="1F4E79"/>
                <w:sz w:val="14"/>
              </w:rPr>
              <w:t>1. Decision frame</w:t>
              <w:br/>
              <w:t>intended user · decision · timing</w:t>
              <w:br/>
              <w:t>binary target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D9EAF7"/>
          </w:tcPr>
          <w:p>
            <w:pPr>
              <w:keepNext/>
              <w:spacing w:after="0"/>
              <w:jc w:val="center"/>
            </w:pPr>
            <w:r>
              <w:rPr>
                <w:rFonts w:ascii="Times New Roman" w:hAnsi="Times New Roman" w:eastAsia="Times New Roman"/>
                <w:b/>
                <w:color w:val="1F4E79"/>
                <w:sz w:val="14"/>
              </w:rPr>
              <w:t>2. Data design</w:t>
              <w:br/>
              <w:t>UCI audit · feature windows</w:t>
              <w:br/>
              <w:t>frozen 70/15/15 IDs</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rFonts w:ascii="Times New Roman" w:hAnsi="Times New Roman" w:eastAsia="Times New Roman"/>
                <w:b/>
                <w:color w:val="1F4E79"/>
                <w:sz w:val="14"/>
              </w:rPr>
              <w:t>3. Model development</w:t>
              <w:br/>
              <w:t>train-only preparation</w:t>
              <w:br/>
              <w:t>TabICL + LR/tree/XGB/EBM</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rFonts w:ascii="Times New Roman" w:hAnsi="Times New Roman" w:eastAsia="Times New Roman"/>
                <w:b/>
                <w:color w:val="1F4E79"/>
                <w:sz w:val="14"/>
              </w:rPr>
              <w:t>6. Local explanations</w:t>
              <w:br/>
              <w:t>preselected held-out cases</w:t>
              <w:br/>
              <w:t>model-agnostic SHAP</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rFonts w:ascii="Times New Roman" w:hAnsi="Times New Roman" w:eastAsia="Times New Roman"/>
                <w:b/>
                <w:color w:val="1F4E79"/>
                <w:sz w:val="14"/>
              </w:rPr>
              <w:t>5. One-time final test</w:t>
              <w:br/>
              <w:t>performance · calibration</w:t>
              <w:br/>
              <w:t>paired uncertainty · runtime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2F0D9"/>
          </w:tcPr>
          <w:p>
            <w:pPr>
              <w:keepNext/>
              <w:spacing w:after="0"/>
              <w:jc w:val="center"/>
            </w:pPr>
            <w:r>
              <w:rPr>
                <w:rFonts w:ascii="Times New Roman" w:hAnsi="Times New Roman" w:eastAsia="Times New Roman"/>
                <w:b/>
                <w:color w:val="1F4E79"/>
                <w:sz w:val="14"/>
              </w:rPr>
              <w:t>4. Validation freeze</w:t>
              <w:br/>
              <w:t>model · capacity policy</w:t>
              <w:br/>
              <w:t>SHAP groups/budget</w:t>
            </w:r>
          </w:p>
        </w:tc>
      </w:tr>
      <w:tr>
        <w:trPr>
          <w:cantSplit/>
        </w:trPr>
        <w:tc>
          <w:tcPr>
            <w:tcW w:type="dxa" w:w="2664"/>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c>
          <w:tcPr>
            <w:tcW w:type="dxa" w:w="2664"/>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r>
          </w:p>
        </w:tc>
      </w:tr>
      <w:tr>
        <w:trPr>
          <w:cantSplit/>
        </w:trPr>
        <w:tc>
          <w:tcPr>
            <w:tcW w:type="dxa" w:w="2664"/>
            <w:vAlign w:val="center"/>
            <w:tcBorders>
              <w:top w:val="single" w:sz="6" w:color="5B9BD5"/>
              <w:left w:val="single" w:sz="6" w:color="5B9BD5"/>
              <w:bottom w:val="single" w:sz="6" w:color="5B9BD5"/>
              <w:right w:val="single" w:sz="6" w:color="5B9BD5"/>
            </w:tcBorders>
            <w:shd w:fill="FCE4D6"/>
          </w:tcPr>
          <w:p>
            <w:pPr>
              <w:keepNext/>
              <w:spacing w:after="0"/>
              <w:jc w:val="center"/>
            </w:pPr>
            <w:r>
              <w:rPr>
                <w:rFonts w:ascii="Times New Roman" w:hAnsi="Times New Roman" w:eastAsia="Times New Roman"/>
                <w:b/>
                <w:color w:val="1F4E79"/>
                <w:sz w:val="14"/>
              </w:rPr>
              <w:t>7. Explanation evidence</w:t>
              <w:br/>
              <w:t>deletion + white-box · stability</w:t>
              <w:br/>
              <w:t>perturbation · recourse</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rFonts w:ascii="Times New Roman" w:hAnsi="Times New Roman" w:eastAsia="Times New Roman"/>
                <w:b/>
                <w:color w:val="1F4E79"/>
                <w:sz w:val="14"/>
              </w:rPr>
              <w:t>8. Decision-support study</w:t>
              <w:br/>
              <w:t>subgroup/proxy audit · interface</w:t>
              <w:br/>
              <w:t>blinded A/B study + coding</w:t>
            </w:r>
          </w:p>
        </w:tc>
        <w:tc>
          <w:tcPr>
            <w:tcW w:type="dxa" w:w="360"/>
            <w:vAlign w:val="center"/>
            <w:tcBorders>
              <w:top w:val="nil" w:sz="6" w:color="5B9BD5"/>
              <w:left w:val="nil" w:sz="6" w:color="5B9BD5"/>
              <w:bottom w:val="nil" w:sz="6" w:color="5B9BD5"/>
              <w:right w:val="nil" w:sz="6" w:color="5B9BD5"/>
            </w:tcBorders>
          </w:tcPr>
          <w:p>
            <w:pPr>
              <w:keepNext/>
              <w:spacing w:after="0"/>
              <w:jc w:val="center"/>
            </w:pPr>
            <w:r>
              <w:rPr>
                <w:rFonts w:ascii="Times New Roman" w:hAnsi="Times New Roman" w:eastAsia="Times New Roman"/>
                <w:b w:val="0"/>
                <w:color w:val="1F4E79"/>
                <w:sz w:val="22"/>
              </w:rPr>
              <w:t>→</w:t>
            </w:r>
          </w:p>
        </w:tc>
        <w:tc>
          <w:tcPr>
            <w:tcW w:type="dxa" w:w="2664"/>
            <w:vAlign w:val="center"/>
            <w:tcBorders>
              <w:top w:val="single" w:sz="6" w:color="5B9BD5"/>
              <w:left w:val="single" w:sz="6" w:color="5B9BD5"/>
              <w:bottom w:val="single" w:sz="6" w:color="5B9BD5"/>
              <w:right w:val="single" w:sz="6" w:color="5B9BD5"/>
            </w:tcBorders>
            <w:shd w:fill="E4DFEC"/>
          </w:tcPr>
          <w:p>
            <w:pPr>
              <w:keepNext/>
              <w:spacing w:after="0"/>
              <w:jc w:val="center"/>
            </w:pPr>
            <w:r>
              <w:rPr>
                <w:rFonts w:ascii="Times New Roman" w:hAnsi="Times New Roman" w:eastAsia="Times New Roman"/>
                <w:b/>
                <w:color w:val="1F4E79"/>
                <w:sz w:val="14"/>
              </w:rPr>
              <w:t>9. Final deliverables</w:t>
              <w:br/>
              <w:t>report · model card · limitations</w:t>
              <w:br/>
              <w:t>code + tables + interface</w:t>
            </w:r>
          </w:p>
        </w:tc>
      </w:tr>
    </w:tbl>
    <w:p>
      <w:pPr>
        <w:spacing w:after="120"/>
        <w:jc w:val="both"/>
      </w:pPr>
      <w:r>
        <w:rPr>
          <w:rFonts w:ascii="Times New Roman" w:hAnsi="Times New Roman" w:eastAsia="Times New Roman"/>
          <w:b w:val="0"/>
          <w:i w:val="0"/>
          <w:sz w:val="22"/>
        </w:rPr>
        <w:t>Figure 1. Proposed research workflow. Model, capacity policy and explanation protocols will be frozen on validation data before one-time final testing. Ethics, governance and reproducibility will apply throughout.</w:t>
      </w:r>
    </w:p>
    <w:p>
      <w:pPr>
        <w:pStyle w:val="Heading2"/>
        <w:spacing w:after="40"/>
        <w:jc w:val="left"/>
      </w:pPr>
      <w:r>
        <w:rPr>
          <w:rFonts w:ascii="Times New Roman" w:hAnsi="Times New Roman" w:eastAsia="Times New Roman"/>
          <w:b/>
          <w:i w:val="0"/>
          <w:sz w:val="22"/>
        </w:rPr>
        <w:t>5.7  Qualitative Analysis of Human-Study Responses</w:t>
      </w:r>
    </w:p>
    <w:p>
      <w:pPr>
        <w:jc w:val="both"/>
      </w:pPr>
      <w:r>
        <w:rPr>
          <w:rFonts w:ascii="Times New Roman" w:hAnsi="Times New Roman" w:eastAsia="Times New Roman"/>
          <w:b w:val="0"/>
          <w:i w:val="0"/>
          <w:sz w:val="22"/>
        </w:rPr>
        <w:t>After the prediction task, each participant will explain the judgement, propose a support action, and flag missing information. A pre-defined coding guide will group responses into comprehension, actionability and information-gap categories;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rsidR="00000000" w:rsidDel="00000000" w:rsidP="00000000" w:rsidRDefault="00000000" w:rsidRPr="00000000" w14:paraId="00000022">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6. Ethics, Fairness and Data Governance</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23">
      <w:pPr>
        <w:jc w:val="both"/>
        <w:rPr/>
      </w:pPr>
      <w:r w:rsidDel="00000000" w:rsidR="00000000" w:rsidRPr="00000000">
        <w:rPr>
          <w:rFonts w:ascii="Times New Roman" w:hAnsi="Times New Roman" w:eastAsia="Times New Roman"/>
          <w:b w:val="0"/>
          <w:i w:val="0"/>
          <w:sz w:val="22"/>
          <w:rtl w:val="0"/>
        </w:rPr>
        <w:t>The UCI dataset is publicly available under CC BY 4.0 with no direct identifiers; its citation and licence will be preserved, the raw file will remain unchanged, and all transformations will be documented. AIT human-study participation will be voluntary, informed-consent based, and penalty-free to decline or withdraw. No names, AIT identifiers or administrative records will be collected; raw free text will stay outside version control, accidental identifiers will be removed, and only aggregate or paraphrased findings will be reported. Before recruitment, the team will confirm with the course instructor whether institutional approval is required, obtaining it where applicable.</w:t>
      </w:r>
    </w:p>
    <w:p w:rsidR="00000000" w:rsidDel="00000000" w:rsidP="00000000" w:rsidRDefault="00000000" w:rsidRPr="00000000" w14:paraId="00000024">
      <w:pPr>
        <w:jc w:val="both"/>
        <w:rPr/>
      </w:pPr>
      <w:r w:rsidDel="00000000" w:rsidR="00000000" w:rsidRPr="00000000">
        <w:rPr>
          <w:rFonts w:ascii="Times New Roman" w:hAnsi="Times New Roman" w:eastAsia="Times New Roman"/>
          <w:b w:val="0"/>
          <w:i w:val="0"/>
          <w:sz w:val="22"/>
          <w:rtl w:val="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rsidR="00000000" w:rsidDel="00000000" w:rsidP="00000000" w:rsidRDefault="00000000" w:rsidRPr="00000000" w14:paraId="00000025">
      <w:pPr>
        <w:jc w:val="both"/>
        <w:rPr/>
      </w:pPr>
      <w:r w:rsidDel="00000000" w:rsidR="00000000" w:rsidRPr="00000000">
        <w:rPr>
          <w:rFonts w:ascii="Times New Roman" w:hAnsi="Times New Roman" w:eastAsia="Times New Roman"/>
          <w:b w:val="0"/>
          <w:i w:val="0"/>
          <w:sz w:val="22"/>
          <w:rtl w:val="0"/>
        </w:rPr>
        <w:t>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prioritisation, not autonomous denial of education or services.</w:t>
      </w:r>
    </w:p>
    <w:p w:rsidR="00000000" w:rsidDel="00000000" w:rsidP="00000000" w:rsidRDefault="00000000" w:rsidRPr="00000000" w14:paraId="00000026">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7. Feasibility and Model Complexity</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27">
      <w:pPr>
        <w:jc w:val="both"/>
        <w:rPr/>
      </w:pPr>
      <w:r w:rsidDel="00000000" w:rsidR="00000000" w:rsidRPr="00000000">
        <w:rPr>
          <w:rFonts w:ascii="Times New Roman" w:hAnsi="Times New Roman" w:eastAsia="Times New Roman"/>
          <w:b w:val="0"/>
          <w:i w:val="0"/>
          <w:sz w:val="22"/>
          <w:rtl w:val="0"/>
        </w:rPr>
        <w:t>TabICL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simulatable comparisons. TabICL's validation ROC-AUC exceeds EBM by only 0.006, so the project does not presume that complexity is operationally justified; final same-test-set performance, calibration, runtime and explanation evidence will determine whether TabICL remains a research comparison or EBM is the more defensible deployment candidate.</w:t>
      </w:r>
    </w:p>
    <w:p w:rsidR="00000000" w:rsidDel="00000000" w:rsidP="00000000" w:rsidRDefault="00000000" w:rsidRPr="00000000" w14:paraId="00000028">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8. Reproducibility and Documentation</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29">
      <w:pPr>
        <w:jc w:val="both"/>
        <w:rPr/>
      </w:pPr>
      <w:r w:rsidDel="00000000" w:rsidR="00000000" w:rsidRPr="00000000">
        <w:rPr>
          <w:rFonts w:ascii="Times New Roman" w:hAnsi="Times New Roman" w:eastAsia="Times New Roman"/>
          <w:b w:val="0"/>
          <w:i w:val="0"/>
          <w:sz w:val="22"/>
          <w:rtl w:val="0"/>
        </w:rPr>
        <w:t>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TabICL/SHAP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rsidR="00000000" w:rsidDel="00000000" w:rsidP="00000000" w:rsidRDefault="00000000" w:rsidRPr="00000000" w14:paraId="0000003E">
      <w:pPr>
        <w:spacing w:after="40" w:lineRule="auto"/>
        <w:jc w:val="both"/>
        <w:rPr/>
      </w:pPr>
      <w:r w:rsidDel="00000000" w:rsidR="00000000" w:rsidRPr="00000000">
        <w:rPr>
          <w:rFonts w:ascii="Times New Roman" w:hAnsi="Times New Roman" w:eastAsia="Times New Roman"/>
          <w:b w:val="0"/>
          <w:i w:val="0"/>
          <w:sz w:val="22"/>
          <w:rtl w:val="0"/>
        </w:rPr>
      </w:r>
    </w:p>
    <w:p w:rsidR="00000000" w:rsidDel="00000000" w:rsidP="00000000" w:rsidRDefault="00000000" w:rsidRPr="00000000" w14:paraId="0000003F">
      <w:pPr>
        <w:pStyle w:val="Heading1"/>
        <w:spacing w:after="80" w:before="240" w:lineRule="auto"/>
        <w:jc w:val="left"/>
        <w:rPr/>
      </w:pPr>
      <w:r w:rsidDel="00000000" w:rsidR="00000000" w:rsidRPr="00000000">
        <w:rPr>
          <w:rFonts w:ascii="Times New Roman" w:hAnsi="Times New Roman" w:eastAsia="Times New Roman"/>
          <w:b/>
          <w:i w:val="0"/>
          <w:color w:val="2c5f8a"/>
          <w:sz w:val="22"/>
          <w:szCs w:val="28"/>
          <w:rtl w:val="0"/>
        </w:rPr>
        <w:t>9. Expected Contribution, Limitations and Contingencies</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40">
      <w:pPr>
        <w:jc w:val="both"/>
        <w:rPr/>
      </w:pPr>
      <w:r w:rsidDel="00000000" w:rsidR="00000000" w:rsidRPr="00000000">
        <w:rPr>
          <w:rFonts w:ascii="Times New Roman" w:hAnsi="Times New Roman" w:eastAsia="Times New Roman"/>
          <w:b w:val="0"/>
          <w:i w:val="0"/>
          <w:sz w:val="22"/>
          <w:rtl w:val="0"/>
        </w:rPr>
        <w:t>The proposed contribution will extend beyond accuracy by asking whether TabICL's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descriptive. Findings will remain valuable if EBM matches or exceeds TabICL, explanations are unstable or unfaithful, participants gain no benefit, or feasible recourse is unavailable.</w:t>
      </w:r>
    </w:p>
    <w:p>
      <w:pPr>
        <w:jc w:val="both"/>
      </w:pPr>
      <w:r>
        <w:rPr>
          <w:rFonts w:ascii="Times New Roman" w:hAnsi="Times New Roman" w:eastAsia="Times New Roman"/>
          <w:b w:val="0"/>
          <w:i w:val="0"/>
          <w:sz w:val="22"/>
        </w:rPr>
        <w:t>Code and data availability. The versioned project repository will be released at https://github.com/TheInterpreters/Proposal_EDA with code, tests, non-sensitive tables and reproduction commands; raw human free text will remain excluded.</w:t>
      </w:r>
    </w:p>
    <w:p w:rsidR="00000000" w:rsidDel="00000000" w:rsidP="00000000" w:rsidRDefault="00000000" w:rsidRPr="00000000" w14:paraId="00000041">
      <w:pPr>
        <w:pStyle w:val="Heading1"/>
        <w:pageBreakBefore/>
        <w:spacing w:after="80" w:before="240" w:lineRule="auto"/>
        <w:jc w:val="left"/>
        <w:rPr/>
      </w:pPr>
      <w:r w:rsidDel="00000000" w:rsidR="00000000" w:rsidRPr="00000000">
        <w:rPr>
          <w:rFonts w:ascii="Times New Roman" w:hAnsi="Times New Roman" w:eastAsia="Times New Roman"/>
          <w:b/>
          <w:i w:val="0"/>
          <w:color w:val="2c5f8a"/>
          <w:sz w:val="22"/>
          <w:szCs w:val="28"/>
          <w:rtl w:val="0"/>
        </w:rPr>
        <w:t>Appendix A. References</w:t>
      </w:r>
      <w:r w:rsidDel="00000000" w:rsidR="00000000" w:rsidRPr="00000000">
        <w:rPr>
          <w:rFonts w:ascii="Times New Roman" w:hAnsi="Times New Roman" w:eastAsia="Times New Roman"/>
          <w:b/>
          <w:i w:val="0"/>
          <w:sz w:val="22"/>
          <w:rtl w:val="0"/>
        </w:rPr>
      </w:r>
    </w:p>
    <w:p w:rsidR="00000000" w:rsidDel="00000000" w:rsidP="00000000" w:rsidRDefault="00000000" w:rsidRPr="00000000" w14:paraId="00000042">
      <w:pPr>
        <w:jc w:val="both"/>
        <w:rPr/>
      </w:pPr>
      <w:r w:rsidDel="00000000" w:rsidR="00000000" w:rsidRPr="00000000">
        <w:rPr>
          <w:rFonts w:ascii="Times New Roman" w:hAnsi="Times New Roman" w:eastAsia="Times New Roman"/>
          <w:b w:val="0"/>
          <w:i w:val="0"/>
          <w:sz w:val="22"/>
          <w:rtl w:val="0"/>
        </w:rPr>
        <w:t>Realinho, V., Vieira Martins, M., Machado, J., &amp; Baptista, L. (2021). Predict Students’ Dropout and Academic Success [Dataset]. UCI Machine Learning Repository. https://doi.org/10.24432/C5MC89</w:t>
        <w:br/>
        <w:t>Realinho, V., Machado, J., Baptista, L., &amp; Martins, M. V. (2022). Predicting student dropout and academic success. Data, 7(11), 146. https://doi.org/10.3390/data7110146</w:t>
        <w:br/>
        <w:t>Hollmann, N., Müller, S., Purucker, L., Krishnakumar, A., Körfer, M., Hoo, S. B., Schirrmeister, R. T., &amp; Hutter, F. (2025). Accurate predictions on small data with a tabular foundation model. Nature, 637, 319–326. https://doi.org/10.1038/s41586-024-08328-6</w:t>
        <w:br/>
        <w:t>Qu, J., Holzmüller, D., Varoquaux, G., &amp; Le Morvan, M. (2025). TabICL: A tabular foundation model for in-context learning on large data. Proceedings of the 42nd International Conference on Machine Learning, PMLR 267, 50817–50847. https://proceedings.mlr.press/v267/qu25d.html</w:t>
        <w:br/>
        <w:t>Lou, Y., Caruana, R., Gehrke, J., &amp; Hooker, G. (2013). Accurate intelligible models with pairwise interactions. Proceedings of the 19th ACM SIGKDD International Conference on Knowledge Discovery and Data Mining, 623–631. https://doi.org/10.1145/2487575.2487579</w:t>
        <w:br/>
        <w:t>Lundberg, S. M., &amp; Lee, S.-I. (2017). A unified approach to interpreting model predictions. Advances in Neural Information Processing Systems, 30, 4765–4774. https://proceedings.neurips.cc/paper/2017/hash/8a20a8621978632d76c43dfd28b67767-Abstract.html</w:t>
        <w:br/>
        <w:t>Nauta, M., Trienes, J., Pathak, S., Nguyen, E., Peters, M., Schmitt, Y., Schlötterer, J., van Keulen, M., &amp; Seifert, C. (2023). From anecdotal evidence to quantitative evaluation methods: A systematic review on evaluating explainable AI. ACM Computing Surveys, 55(13s), Article 295. https://doi.org/10.1145/3583558</w:t>
        <w:br/>
        <w:t>Hase, P., &amp; Bansal, M. (2020). Evaluating explainable AI: Which algorithmic explanations help users predict model behavior? Proceedings of the 58th Annual Meeting of the Association for Computational Linguistics, 5540–5552. https://doi.org/10.18653/v1/2020.acl-main.491</w:t>
        <w:br/>
        <w:t>Karimi, A.-H., Schölkopf, B., &amp; Valera, I. (2021). Algorithmic recourse: From counterfactual explanations to interventions. Proceedings of the 2021 ACM Conference on Fairness, Accountability, and Transparency, 353–362. https://doi.org/10.1145/3442188.3445899</w:t>
        <w:br/>
        <w:t>Tiukhova, E., Vemuri, P., López Flores, N., Islind, A. S., Óskarsdóttir, M., Poelmans, S., Baesens, B., &amp; Snoeck, M. (2024). Explainable learning analytics: Assessing the stability of student success prediction models by means of explainable AI. Decision Support Systems, 182, 114229. https://doi.org/10.1016/j.dss.2024.114229</w:t>
      </w:r>
    </w:p>
    <w:sectPr>
      <w:pgSz w:h="15840" w:w="12240" w:orient="portrait"/>
      <w:pgMar w:bottom="720" w:top="72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0" w:line="240" w:lineRule="auto"/>
    </w:pPr>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ns0:Relationships xmlns:ns0="http://schemas.openxmlformats.org/package/2006/relationships"><ns0:Relationship Id="rId1" Type="http://schemas.openxmlformats.org/officeDocument/2006/relationships/theme" Target="theme/theme1.xml" /><ns0:Relationship Id="rId3" Type="http://schemas.openxmlformats.org/officeDocument/2006/relationships/settings" Target="settings.xml" /><ns0:Relationship Id="rId4" Type="http://schemas.openxmlformats.org/officeDocument/2006/relationships/fontTable" Target="fontTable.xml" /><ns0:Relationship Id="rId5" Type="http://schemas.openxmlformats.org/officeDocument/2006/relationships/numbering" Target="numbering.xml" /><ns0:Relationship Id="rId6" Type="http://schemas.openxmlformats.org/officeDocument/2006/relationships/styles" Target="style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title>Catching Students Before They Leave</dc:title>
  <dc:subject>Updated XDS group project proposal: UCI tabular foundation model and explanation evaluation</dc:subject>
  <dcterms:modified xsi:type="dcterms:W3CDTF">2026-09-17T09:39:17Z</dcterms:modified>
</cp:coreProperties>
</file>