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color w:val="2c5f8a"/>
          <w:sz w:val="40"/>
          <w:szCs w:val="40"/>
          <w:rtl w:val="0"/>
        </w:rPr>
        <w:t>Catching Students Before They Leave</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i w:val="1"/>
          <w:iCs w:val="1"/>
          <w:color w:val="1f2a44"/>
          <w:sz w:val="26"/>
          <w:szCs w:val="26"/>
          <w:rtl w:val="0"/>
        </w:rPr>
        <w:t>Faithful, Stable, and Actionable Explanations of a Tabular Foundation Model for First-Semester Academic Risk</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color w:val="555555"/>
          <w:sz w:val="21"/>
          <w:szCs w:val="21"/>
          <w:rtl w:val="0"/>
        </w:rPr>
        <w:t xml:space="preserve">XDS — Explainable Data Science  |  Group Project Proposal</w:t>
        <w:br w:type="textWrapping"/>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tl w:val="0"/>
        </w:rPr>
        <w:t xml:space="preserve">Please write your name here</w:t>
      </w:r>
    </w:p>
    <w:p w:rsidR="00000000" w:rsidDel="00000000" w:rsidP="00000000" w:rsidRDefault="00000000" w:rsidRPr="00000000" w14:paraId="00000005">
      <w:pPr>
        <w:spacing w:after="80" w:lineRule="auto"/>
        <w:rPr/>
      </w:pPr>
      <w:r w:rsidDel="00000000" w:rsidR="00000000" w:rsidRPr="00000000">
        <w:rPr>
          <w:rtl w:val="0"/>
        </w:rPr>
        <w:t xml:space="preserve">1) Aye Khin Khin Hpone (Yolanda) _125970</w:t>
      </w:r>
    </w:p>
    <w:p w:rsidR="00000000" w:rsidDel="00000000" w:rsidP="00000000" w:rsidRDefault="00000000" w:rsidRPr="00000000" w14:paraId="00000006">
      <w:pPr>
        <w:spacing w:after="80" w:lineRule="auto"/>
        <w:rPr/>
      </w:pPr>
      <w:r w:rsidDel="00000000" w:rsidR="00000000" w:rsidRPr="00000000">
        <w:rPr>
          <w:rtl w:val="0"/>
        </w:rPr>
        <w:t xml:space="preserve">2) Nguyen Liem Son (Lucas) -126729</w:t>
      </w:r>
    </w:p>
    <w:p w:rsidR="00000000" w:rsidDel="00000000" w:rsidP="00000000" w:rsidRDefault="00000000" w:rsidRPr="00000000" w14:paraId="00000007">
      <w:pPr>
        <w:spacing w:after="80" w:lineRule="auto"/>
        <w:rPr/>
      </w:pPr>
      <w:r w:rsidDel="00000000" w:rsidR="00000000" w:rsidRPr="00000000">
        <w:rPr>
          <w:rtl w:val="0"/>
        </w:rPr>
        <w:t xml:space="preserve">3) Witchayda </w:t>
      </w:r>
      <w:r w:rsidDel="00000000" w:rsidR="00000000" w:rsidRPr="00000000">
        <w:rPr>
          <w:rtl w:val="0"/>
        </w:rPr>
        <w:t xml:space="preserve">Theppithuk</w:t>
      </w:r>
      <w:r w:rsidDel="00000000" w:rsidR="00000000" w:rsidRPr="00000000">
        <w:rPr>
          <w:rtl w:val="0"/>
        </w:rPr>
        <w:t xml:space="preserve"> (Noey) - 127419</w:t>
      </w:r>
    </w:p>
    <w:p w:rsidR="00000000" w:rsidDel="00000000" w:rsidP="00000000" w:rsidRDefault="00000000" w:rsidRPr="00000000" w14:paraId="00000008">
      <w:pPr>
        <w:spacing w:after="80" w:lineRule="auto"/>
        <w:rPr/>
      </w:pPr>
      <w:r w:rsidDel="00000000" w:rsidR="00000000" w:rsidRPr="00000000">
        <w:rPr>
          <w:rtl w:val="0"/>
        </w:rPr>
        <w:t xml:space="preserve">4) Han Htoo Zaw - (st127305)</w:t>
      </w:r>
    </w:p>
    <w:p w:rsidR="00000000" w:rsidDel="00000000" w:rsidP="00000000" w:rsidRDefault="00000000" w:rsidRPr="00000000" w14:paraId="00000009">
      <w:pPr>
        <w:spacing w:after="80" w:lineRule="auto"/>
        <w:rPr/>
      </w:pPr>
      <w:r w:rsidDel="00000000" w:rsidR="00000000" w:rsidRPr="00000000">
        <w:rPr>
          <w:rtl w:val="0"/>
        </w:rPr>
        <w:t xml:space="preserve">5 )Pyae Sone Han - (st127366)</w:t>
      </w:r>
    </w:p>
    <w:p w:rsidR="00000000" w:rsidDel="00000000" w:rsidP="00000000" w:rsidRDefault="00000000" w:rsidRPr="00000000" w14:paraId="0000000A">
      <w:pPr>
        <w:pStyle w:val="Heading1"/>
        <w:spacing w:after="80" w:before="240" w:lineRule="auto"/>
        <w:rPr/>
      </w:pPr>
      <w:r w:rsidDel="00000000" w:rsidR="00000000" w:rsidRPr="00000000">
        <w:rPr>
          <w:color w:val="2c5f8a"/>
          <w:sz w:val="28"/>
          <w:szCs w:val="28"/>
          <w:rtl w:val="0"/>
        </w:rPr>
        <w:t xml:space="preserve">1. Overview</w:t>
      </w: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We propose to predict first-year undergraduate dropout risk from structured institutional data using a tabular foundation model (TFM) and to treat evidence about its explanations—not the explanation plot alone—as the main deliverable. After a short feasibility comparison, we will select one TFM (TabPFN or TabICL) as the model to explain and compare it with logistic regression, a depth-3 decision tree, and XGBoost on the same held-out test set. We will evaluate whether the TFM's local explanations are faithful to its predictions, stable across explanation reruns and small input changes, actionable at the stated decision point, fair, and useful to people performing a forward-simulation task.</w:t>
      </w:r>
      <w:r w:rsidDel="00000000" w:rsidR="00000000" w:rsidRPr="00000000">
        <w:rPr>
          <w:highlight w:val="yellow"/>
          <w:rtl w:val="0"/>
        </w:rPr>
      </w:r>
      <w:r w:rsidDel="00000000" w:rsidR="00000000" w:rsidRPr="00000000">
        <w:rPr>
          <w:rtl w:val="0"/>
        </w:rPr>
      </w:r>
    </w:p>
    <w:p w:rsidR="00000000" w:rsidDel="00000000" w:rsidP="00000000" w:rsidRDefault="00000000" w:rsidRPr="00000000" w14:paraId="0000000C">
      <w:pPr>
        <w:jc w:val="both"/>
        <w:rPr>
          <w:highlight w:val="yellow"/>
        </w:rPr>
      </w:pPr>
      <w:sdt>
        <w:sdtPr>
          <w:id w:val="60917386"/>
          <w:tag w:val="goog_rdk_0"/>
        </w:sdtPr>
        <w:sdtContent>
          <w:commentRangeStart w:id="0"/>
        </w:sdtContent>
      </w:sdt>
      <w:r w:rsidDel="00000000" w:rsidR="00000000" w:rsidRPr="00000000">
        <w:rPr>
          <w:highlight w:val="yellow"/>
          <w:rtl w:val="0"/>
        </w:rPr>
        <w:t>The core project uses the UCI tabular dataset. A strictly capped supplementary analysis (5–10% of the project, one team member) uses public UK university-review text to identify five to eight student-experience themes and compare them with the concepts represented by the UCI features. The datasets will not be joined, the reviews will not be used to train or validate the dropout model, and we will not build a second text classifier. Written responses collected during the human study provide a separate, case-linked source of qualitative evidence.</w:t>
      </w:r>
      <w:commentRangeEnd w:id="0"/>
      <w:r w:rsidDel="00000000" w:rsidR="00000000" w:rsidRPr="00000000"/>
      <w:r w:rsidDel="00000000" w:rsidR="00000000" w:rsidRPr="00000000">
        <w:rPr>
          <w:rtl w:val="0"/>
        </w:rPr>
      </w:r>
    </w:p>
    <w:p w:rsidR="00000000" w:rsidDel="00000000" w:rsidP="00000000" w:rsidRDefault="00000000" w:rsidRPr="00000000" w14:paraId="0000000D">
      <w:pPr>
        <w:pStyle w:val="Heading1"/>
        <w:spacing w:after="80" w:before="240" w:lineRule="auto"/>
        <w:rPr/>
      </w:pPr>
      <w:r w:rsidDel="00000000" w:rsidR="00000000" w:rsidRPr="00000000">
        <w:rPr>
          <w:color w:val="2c5f8a"/>
          <w:sz w:val="28"/>
          <w:szCs w:val="28"/>
          <w:rtl w:val="0"/>
        </w:rPr>
        <w:t xml:space="preserve">2. Target Audience and Decision</w:t>
      </w: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The explanation is designed for a university academic advisor reviewing currently enrolled first-year students immediately after first-semester results are finalized and before second-semester support decisions. For a student flagged as high risk, the advisor decides whether to prioritize that student for an advising meeting and referral to appropriate academic or financial support. Missing a genuinely at-risk student may mean no timely contact; over-flagging consumes limited advising capacity and can erode trust. Therefore, the explanation must help the advisor understand the model's output without presenting associations as causal diagnoses or recommendations.</w:t>
      </w:r>
    </w:p>
    <w:p w:rsidR="00000000" w:rsidDel="00000000" w:rsidP="00000000" w:rsidRDefault="00000000" w:rsidRPr="00000000" w14:paraId="0000000F">
      <w:pPr>
        <w:pStyle w:val="Heading1"/>
        <w:spacing w:after="80" w:before="240" w:lineRule="auto"/>
        <w:rPr/>
      </w:pPr>
      <w:r w:rsidDel="00000000" w:rsidR="00000000" w:rsidRPr="00000000">
        <w:rPr>
          <w:color w:val="2c5f8a"/>
          <w:sz w:val="28"/>
          <w:szCs w:val="28"/>
          <w:rtl w:val="0"/>
        </w:rPr>
        <w:t xml:space="preserve">3. Dataset</w:t>
      </w: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Primary modeling data. We use “Predict Students’ Dropout and Academic Success” (Realinho, Vieira Martins, Machado &amp; Baptista, 2021), UCI Machine Learning Repository dataset 697, distributed under CC BY 4.0. It contains 4,424 students, 36 tabular predictors covering demographic, socio-economic, admission, administrative, academic, and macroeconomic information, and the labels Dropout, Enrolled, and Graduate. The distributed data contain no direct identifiers. Our completed EDA found no missing values or duplicate rows.</w:t>
      </w:r>
    </w:p>
    <w:p w:rsidR="00000000" w:rsidDel="00000000" w:rsidP="00000000" w:rsidRDefault="00000000" w:rsidRPr="00000000" w14:paraId="00000011">
      <w:pPr>
        <w:jc w:val="both"/>
        <w:rPr/>
      </w:pPr>
      <w:r w:rsidDel="00000000" w:rsidR="00000000" w:rsidRPr="00000000">
        <w:rPr>
          <w:rtl w:val="0"/>
        </w:rPr>
        <w:t>Supplementary text data. Subject to verification of the original websites' reuse terms, we will analyze a public Kaggle compilation of UK university reviews (final.csv). Although the Kaggle listing labels the dataset MIT, the reviews originated from third-party websites, so we will not redistribute raw reviews or quote them verbatim until upstream permission is confirmed. If it cannot be confirmed, this component will be removed without affecting the core project. The corpus is conceptually related to student experience but is not linked to the UCI students, institution, country, or outcome.</w:t>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012">
      <w:pPr>
        <w:pStyle w:val="Heading1"/>
        <w:spacing w:after="80" w:before="240" w:lineRule="auto"/>
        <w:rPr/>
      </w:pPr>
      <w:r w:rsidDel="00000000" w:rsidR="00000000" w:rsidRPr="00000000">
        <w:rPr>
          <w:color w:val="2c5f8a"/>
          <w:sz w:val="28"/>
          <w:szCs w:val="28"/>
          <w:rtl w:val="0"/>
        </w:rPr>
        <w:t xml:space="preserve">4. Problem Formulation</w:t>
      </w: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The primary prediction task is binary: Dropout (1) versus Graduate (0). We exclude Enrolled records because their final academic outcome is unresolved rather than a confirmed non-dropout outcome. We will document the resulting class distribution and, if time permits, run a sensitivity analysis that retains Enrolled as a separate class or groups it with non-dropout. The primary conclusions will remain tied to the pre-specified binary task.</w:t>
      </w:r>
    </w:p>
    <w:p w:rsidR="00000000" w:rsidDel="00000000" w:rsidP="00000000" w:rsidRDefault="00000000" w:rsidRPr="00000000" w14:paraId="00000014">
      <w:pPr>
        <w:jc w:val="both"/>
        <w:rPr/>
      </w:pPr>
      <w:r w:rsidDel="00000000" w:rsidR="00000000" w:rsidRPr="00000000">
        <w:rPr>
          <w:rtl w:val="0"/>
        </w:rPr>
        <w:t>The prediction time is immediately after first-semester results. Only variables available by then may enter the primary model: enrolment/admission records, demographic and socio-economic fields, administrative status, macroeconomic indicators, and first-semester outcomes. All second-semester curricular variables are excluded because they occur after the decision point and would create temporal leakage. First-semester grades and approved units may be predictive, but they are already historical at this point and will not be treated as mutable in counterfactual recourse.</w:t>
      </w:r>
    </w:p>
    <w:p w:rsidR="00000000" w:rsidDel="00000000" w:rsidP="00000000" w:rsidRDefault="00000000" w:rsidRPr="00000000" w14:paraId="00000015">
      <w:pPr>
        <w:pStyle w:val="Heading1"/>
        <w:spacing w:after="80" w:before="240" w:lineRule="auto"/>
        <w:rPr/>
      </w:pPr>
      <w:r w:rsidDel="00000000" w:rsidR="00000000" w:rsidRPr="00000000">
        <w:rPr>
          <w:color w:val="2c5f8a"/>
          <w:sz w:val="28"/>
          <w:szCs w:val="28"/>
          <w:rtl w:val="0"/>
        </w:rPr>
        <w:t xml:space="preserve">5. Method</w:t>
      </w:r>
      <w:r w:rsidDel="00000000" w:rsidR="00000000" w:rsidRPr="00000000">
        <w:rPr>
          <w:rtl w:val="0"/>
        </w:rPr>
      </w:r>
    </w:p>
    <w:p w:rsidR="00000000" w:rsidDel="00000000" w:rsidP="00000000" w:rsidRDefault="00000000" w:rsidRPr="00000000" w14:paraId="00000016">
      <w:pPr>
        <w:pStyle w:val="Heading2"/>
        <w:spacing w:after="40" w:before="160" w:lineRule="auto"/>
        <w:rPr/>
      </w:pPr>
      <w:r w:rsidDel="00000000" w:rsidR="00000000" w:rsidRPr="00000000">
        <w:rPr>
          <w:color w:val="1f2a44"/>
          <w:sz w:val="24"/>
          <w:szCs w:val="24"/>
          <w:rtl w:val="0"/>
        </w:rPr>
        <w:t xml:space="preserve">5.1  Model and Baseline</w:t>
      </w: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We will compare TabPFN and TabICL in a one-day feasibility check using the same leakage-safe features, data split, seed policy, and evaluation metrics, then select one TFM based on successful execution, documented computational cost, and held-out performance. That TFM will be the main model to explain. Logistic regression and a depth-3 decision tree provide interpretable baselines, while XGBoost provides a conventional strong tabular baseline. We will report balanced accuracy, macro-F1, ROC-AUC, recall for Dropout, and confusion matrices on the same untouched test set. If a simple baseline performs similarly, we will report that plainly and justify—or reconsider—the need for the TFM.</w:t>
      </w:r>
    </w:p>
    <w:p w:rsidR="00000000" w:rsidDel="00000000" w:rsidP="00000000" w:rsidRDefault="00000000" w:rsidRPr="00000000" w14:paraId="00000018">
      <w:pPr>
        <w:pStyle w:val="Heading2"/>
        <w:spacing w:after="40" w:before="160" w:lineRule="auto"/>
        <w:rPr/>
      </w:pPr>
      <w:r w:rsidDel="00000000" w:rsidR="00000000" w:rsidRPr="00000000">
        <w:rPr>
          <w:color w:val="1f2a44"/>
          <w:sz w:val="24"/>
          <w:szCs w:val="24"/>
          <w:rtl w:val="0"/>
        </w:rPr>
        <w:t xml:space="preserve">5.2  Faithfulness Evidence (Criterion 3)</w:t>
      </w: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Because a TFM is not a tree ensemble, we will not claim TreeSHAP exactness. We will generate local feature attributions with a model-agnostic SHAP method applied to the TFM's predicted dropout probability and document the background sample and masking rule. Faithfulness will be tested on held-out cases with deletion curves: replace the top-ranked feature, then the top two, and so on using a pre-specified reference value and re-predict. We will compare this curve with repeated random-feature deletion and report the area between curves with uncertainty across cases. A separate linear white-box or synthetic-data check will validate the explainer implementation, but it will be labelled as a calibration check rather than proof that the TFM explanation is correct.</w:t>
      </w:r>
    </w:p>
    <w:p w:rsidR="00000000" w:rsidDel="00000000" w:rsidP="00000000" w:rsidRDefault="00000000" w:rsidRPr="00000000" w14:paraId="0000001A">
      <w:pPr>
        <w:pStyle w:val="Heading2"/>
        <w:spacing w:after="40" w:before="160" w:lineRule="auto"/>
        <w:rPr/>
      </w:pPr>
      <w:r w:rsidDel="00000000" w:rsidR="00000000" w:rsidRPr="00000000">
        <w:rPr>
          <w:color w:val="1f2a44"/>
          <w:sz w:val="24"/>
          <w:szCs w:val="24"/>
          <w:rtl w:val="0"/>
        </w:rPr>
        <w:t xml:space="preserve">5.3  Stability Evidence (Criterion 4)</w:t>
      </w: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Following the rubric, we will pre-select 20 held-out cases spanning predicted-risk levels. For each case, we will run the model-agnostic explainer 10 times while varying its random seed and/or background sample, then report mean pairwise Jaccard overlap for the top five features and rank correlation. We will also apply small, valid perturbations that keep the TFM prediction nearly unchanged and measure whether the explanation changes disproportionately. The prediction-change tolerance, perturbation sizes, and stability metrics will be fixed before examining results. Low stability will be reported as a substantive limitation, not filtered out by rerunning.</w:t>
      </w:r>
    </w:p>
    <w:p w:rsidR="00000000" w:rsidDel="00000000" w:rsidP="00000000" w:rsidRDefault="00000000" w:rsidRPr="00000000" w14:paraId="0000001C">
      <w:pPr>
        <w:pStyle w:val="Heading2"/>
        <w:spacing w:after="40" w:before="160" w:lineRule="auto"/>
        <w:rPr/>
      </w:pPr>
      <w:r w:rsidDel="00000000" w:rsidR="00000000" w:rsidRPr="00000000">
        <w:rPr>
          <w:color w:val="1f2a44"/>
          <w:sz w:val="24"/>
          <w:szCs w:val="24"/>
          <w:rtl w:val="0"/>
        </w:rPr>
        <w:t xml:space="preserve">5.4  Human Evidence (Criterion 5)</w:t>
      </w: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We will recruit 8–10 participants where feasible (at least 4–5 per group) for the rubric's forward-simulation study. Both groups receive the same 10 held-out student profiles in randomized order and predict the model's hidden binary output. The control group sees the profile only; the treatment group also sees the TFM explanation, formatted so that it does not reveal the output. We will compare group accuracy and completion time, report the sample size without claiming statistical significance, and collect short written rationales, suggested interventions, and missing-information comments. Responses will be consented, anonymized, linked only to case IDs, and coded into themes using a pre-defined coding guide.</w:t>
      </w:r>
    </w:p>
    <w:p w:rsidR="00000000" w:rsidDel="00000000" w:rsidP="00000000" w:rsidRDefault="00000000" w:rsidRPr="00000000" w14:paraId="0000001E">
      <w:pPr>
        <w:pStyle w:val="Heading2"/>
        <w:spacing w:after="40" w:before="160" w:lineRule="auto"/>
        <w:rPr/>
      </w:pPr>
      <w:r w:rsidDel="00000000" w:rsidR="00000000" w:rsidRPr="00000000">
        <w:rPr>
          <w:color w:val="1f2a44"/>
          <w:sz w:val="24"/>
          <w:szCs w:val="24"/>
          <w:rtl w:val="0"/>
        </w:rPr>
        <w:t xml:space="preserve">5.5  Actionability (Criterion 6)</w:t>
      </w: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Before modeling, we will classify features by temporal availability and feasibility. Immutable or historical fields include age at enrolment, nationality, prior qualification, first-semester grades, and completed first-semester units. Potentially changeable administrative conditions—such as resolving outstanding tuition or debt status—will be permitted in a counterfactual only where that change is realistic at the decision point; institution-controlled support such as financial assistance will be reported separately from student-controlled actions. We will search for the smallest feasible change that crosses the decision threshold, enforce valid ranges and feature dependencies, and explicitly report cases with no feasible recourse. Counterfactuals describe model behavior, not causal promises.</w:t>
      </w:r>
    </w:p>
    <w:p w:rsidR="00000000" w:rsidDel="00000000" w:rsidP="00000000" w:rsidRDefault="00000000" w:rsidRPr="00000000" w14:paraId="00000020">
      <w:pPr>
        <w:pStyle w:val="Heading2"/>
        <w:spacing w:after="40" w:before="160" w:lineRule="auto"/>
        <w:rPr/>
      </w:pPr>
      <w:r w:rsidDel="00000000" w:rsidR="00000000" w:rsidRPr="00000000">
        <w:rPr>
          <w:color w:val="1f2a44"/>
          <w:sz w:val="24"/>
          <w:szCs w:val="24"/>
          <w:rtl w:val="0"/>
        </w:rPr>
        <w:t xml:space="preserve">5.6  Interpretation Walkthrough (Worked Example)</w:t>
      </w: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For one representative held-out student, we will show the complete reasoning chain: (1) the selected TFM returns a dropout probability; (2) model-agnostic SHAP ranks local feature contributions; (3) deletion testing measures whether removing those features changes the prediction more than random deletion; (4) repeated explanations and small input perturbations quantify stability; (5) immutable and already-observed contributors are presented as context only; and (6) a constrained search either produces a feasible administrative counterfactual or reports that none exists. The example will be shown only after the quantitative evaluation protocol is fixed.</w:t>
      </w:r>
    </w:p>
    <w:p>
      <w:pPr>
        <w:pStyle w:val="Heading2"/>
      </w:pPr>
      <w:r>
        <w:t>5.7  Supplementary Text Coverage Analysis</w:t>
      </w:r>
    </w:p>
    <w:p>
      <w:pPr/>
      <w:r>
        <w:t>After applying a pre-specified relevance filter, we will embed a reproducible sample of eligible UK reviews, cluster them as exploratory support, and manually consolidate the output into five to eight named student-experience themes. Two team members will review sampled items for each theme, record disagreements, and paraphrase any report examples. The final table will map each theme to UCI feature coverage (direct, partial proxy, or absent) and emphasize blind spots rather than causal claims. No review-level prediction, UCI linkage, SHAP validation, or human-study treatment uses this corpus; the entire component is capped at 5–10% of effort.</w:t>
      </w:r>
    </w:p>
    <w:p w:rsidR="00000000" w:rsidDel="00000000" w:rsidP="00000000" w:rsidRDefault="00000000" w:rsidRPr="00000000" w14:paraId="00000022">
      <w:pPr>
        <w:pStyle w:val="Heading1"/>
        <w:spacing w:after="80" w:before="240" w:lineRule="auto"/>
        <w:rPr/>
      </w:pPr>
      <w:r w:rsidDel="00000000" w:rsidR="00000000" w:rsidRPr="00000000">
        <w:rPr>
          <w:color w:val="2c5f8a"/>
          <w:sz w:val="28"/>
          <w:szCs w:val="28"/>
          <w:rtl w:val="0"/>
        </w:rPr>
        <w:t xml:space="preserve">6. Ethics and Data Handling</w:t>
      </w: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The UCI dataset is public, distributed under CC BY 4.0, and contains no direct identifiers in the version we use. We will retain its citation and licence information, keep the raw file unchanged, and document every transformation. Human-study participation will be voluntary; we will avoid collecting names in the response file, store raw free text outside version control, remove accidental identifiers, and publish only aggregate results and paraphrased comments. The supplementary review corpus will be included only if upstream reuse terms are confirmed.</w:t>
      </w:r>
    </w:p>
    <w:p w:rsidR="00000000" w:rsidDel="00000000" w:rsidP="00000000" w:rsidRDefault="00000000" w:rsidRPr="00000000" w14:paraId="00000024">
      <w:pPr>
        <w:jc w:val="both"/>
        <w:rPr/>
      </w:pPr>
      <w:r w:rsidDel="00000000" w:rsidR="00000000" w:rsidRPr="00000000">
        <w:rPr>
          <w:rtl w:val="0"/>
        </w:rPr>
        <w:t>We will explicitly list protected and sensitive attributes available in the UCI data, including gender, nationality, age, international status, displaced status, and educational special needs. We will report outcome and error-rate differences for groups with adequate sample sizes and examine whether influential features correlate with protected attributes. These checks are diagnostic and will not be presented as proof of fairness.</w:t>
      </w:r>
    </w:p>
    <w:p w:rsidR="00000000" w:rsidDel="00000000" w:rsidP="00000000" w:rsidRDefault="00000000" w:rsidRPr="00000000" w14:paraId="00000025">
      <w:pPr>
        <w:jc w:val="both"/>
        <w:rPr/>
      </w:pPr>
      <w:r w:rsidDel="00000000" w:rsidR="00000000" w:rsidRPr="00000000">
        <w:rPr>
          <w:rtl w:val="0"/>
        </w:rPr>
        <w:t>We will also examine plausible proxies: parental occupation and qualification may encode socio-economic position; course and application mode may reflect demographic sorting; and debtor, tuition-fee, and scholarship variables may encode financial disadvantage. Removing a protected column does not remove its information from correlated proxies, so influential proxies and limitations will be documented even when they reduce the apparent attractiveness of the model. The system is decision support for prioritizing outreach, not an autonomous denial of education or services.</w:t>
      </w:r>
    </w:p>
    <w:p w:rsidR="00000000" w:rsidDel="00000000" w:rsidP="00000000" w:rsidRDefault="00000000" w:rsidRPr="00000000" w14:paraId="00000026">
      <w:pPr>
        <w:pStyle w:val="Heading1"/>
        <w:spacing w:after="80" w:before="240" w:lineRule="auto"/>
        <w:rPr/>
      </w:pPr>
      <w:r w:rsidDel="00000000" w:rsidR="00000000" w:rsidRPr="00000000">
        <w:rPr>
          <w:color w:val="2c5f8a"/>
          <w:sz w:val="28"/>
          <w:szCs w:val="28"/>
          <w:rtl w:val="0"/>
        </w:rPr>
        <w:t xml:space="preserve">7. Model Complexity Justification</w:t>
      </w: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The main model is a tabular foundation model that makes predictions using learned representations and in-context information from a reference/training set; its reasoning cannot be recovered by inspecting a short coefficient list or a small decision tree. We will report the selected library and version, reference-set size, number of eligible features, inference configuration, runtime, and hardware. Logistic regression and the depth-3 tree remain deliberately inspectable comparisons. The project will not claim that complexity is valuable unless the same-test-set results or the research question justify it.</w:t>
      </w:r>
    </w:p>
    <w:p w:rsidR="00000000" w:rsidDel="00000000" w:rsidP="00000000" w:rsidRDefault="00000000" w:rsidRPr="00000000" w14:paraId="00000028">
      <w:pPr>
        <w:pStyle w:val="Heading1"/>
        <w:spacing w:after="80" w:before="240" w:lineRule="auto"/>
        <w:rPr/>
      </w:pPr>
      <w:r w:rsidDel="00000000" w:rsidR="00000000" w:rsidRPr="00000000">
        <w:rPr>
          <w:color w:val="2c5f8a"/>
          <w:sz w:val="28"/>
          <w:szCs w:val="28"/>
          <w:rtl w:val="0"/>
        </w:rPr>
        <w:t xml:space="preserve">8. Reproducibility Plan</w:t>
      </w: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The repository separates untouched source data, EDA, modeling code, explanation evaluation, study materials, tables, and figures. The core environment uses pinned dependencies; the optional text supplement uses a separate pinned environment so it cannot destabilize the core workflow. We will fix and record data-split, model, explanation, and sampling seeds; save the exact train/test indices; and provide one documented command that regenerates every reported core figure and table from the raw UCI data. A model card will state intended use, prediction time, training data, metrics, subgroup results, explanation evidence, and limitations.</w:t>
      </w:r>
    </w:p>
    <w:p w:rsidR="00000000" w:rsidDel="00000000" w:rsidP="00000000" w:rsidRDefault="00000000" w:rsidRPr="00000000" w14:paraId="0000002A">
      <w:pPr>
        <w:pStyle w:val="Heading1"/>
        <w:spacing w:after="80" w:before="240" w:lineRule="auto"/>
        <w:rPr/>
      </w:pPr>
      <w:r w:rsidDel="00000000" w:rsidR="00000000" w:rsidRPr="00000000">
        <w:rPr>
          <w:color w:val="2c5f8a"/>
          <w:sz w:val="28"/>
          <w:szCs w:val="28"/>
          <w:rtl w:val="0"/>
        </w:rPr>
        <w:t xml:space="preserve">9. Team and Task Division</w:t>
      </w: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The audience, prediction time, target, split, and evaluation protocols will be agreed jointly before criterion-specific work begins. Each lead owns reproducible artifacts and a second member reviews the code and claims before submission:</w:t>
      </w:r>
    </w:p>
    <w:tbl>
      <w:tblPr>
        <w:tblStyle w:val="Table1"/>
        <w:tblW w:w="9648.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216"/>
        <w:gridCol w:w="3216"/>
        <w:gridCol w:w="3216"/>
        <w:tblGridChange w:id="0">
          <w:tblGrid>
            <w:gridCol w:w="3216"/>
            <w:gridCol w:w="3216"/>
            <w:gridCol w:w="3216"/>
          </w:tblGrid>
        </w:tblGridChange>
      </w:tblGrid>
      <w:tr>
        <w:trPr>
          <w:cantSplit w:val="0"/>
          <w:tblHeader w:val="0"/>
        </w:trPr>
        <w:tc>
          <w:tcPr>
            <w:shd w:fill="2c5f8a" w:val="clear"/>
          </w:tcPr>
          <w:p w:rsidR="00000000" w:rsidDel="00000000" w:rsidP="00000000" w:rsidRDefault="00000000" w:rsidRPr="00000000" w14:paraId="0000002C">
            <w:pPr>
              <w:rPr/>
            </w:pPr>
            <w:r w:rsidDel="00000000" w:rsidR="00000000" w:rsidRPr="00000000">
              <w:rPr>
                <w:b w:val="1"/>
                <w:bCs w:val="1"/>
                <w:color w:val="ffffff"/>
                <w:rtl w:val="0"/>
              </w:rPr>
              <w:t>Role</w:t>
            </w:r>
            <w:r w:rsidDel="00000000" w:rsidR="00000000" w:rsidRPr="00000000">
              <w:rPr>
                <w:rtl w:val="0"/>
              </w:rPr>
            </w:r>
          </w:p>
        </w:tc>
        <w:tc>
          <w:tcPr>
            <w:shd w:fill="2c5f8a" w:val="clear"/>
          </w:tcPr>
          <w:p w:rsidR="00000000" w:rsidDel="00000000" w:rsidP="00000000" w:rsidRDefault="00000000" w:rsidRPr="00000000" w14:paraId="0000002D">
            <w:pPr>
              <w:rPr/>
            </w:pPr>
            <w:r w:rsidDel="00000000" w:rsidR="00000000" w:rsidRPr="00000000">
              <w:rPr>
                <w:b w:val="1"/>
                <w:bCs w:val="1"/>
                <w:color w:val="ffffff"/>
                <w:rtl w:val="0"/>
              </w:rPr>
              <w:t>Primary Responsibility</w:t>
            </w:r>
            <w:r w:rsidDel="00000000" w:rsidR="00000000" w:rsidRPr="00000000">
              <w:rPr>
                <w:rtl w:val="0"/>
              </w:rPr>
            </w:r>
          </w:p>
        </w:tc>
        <w:tc>
          <w:tcPr>
            <w:shd w:fill="2c5f8a" w:val="clear"/>
          </w:tcPr>
          <w:p w:rsidR="00000000" w:rsidDel="00000000" w:rsidP="00000000" w:rsidRDefault="00000000" w:rsidRPr="00000000" w14:paraId="0000002E">
            <w:pPr>
              <w:rPr/>
            </w:pPr>
            <w:r w:rsidDel="00000000" w:rsidR="00000000" w:rsidRPr="00000000">
              <w:rPr>
                <w:b w:val="1"/>
                <w:bCs w:val="1"/>
                <w:color w:val="ffffff"/>
                <w:rtl w:val="0"/>
              </w:rPr>
              <w:t>Primary Criteria</w:t>
            </w:r>
            <w:r w:rsidDel="00000000" w:rsidR="00000000" w:rsidRPr="00000000">
              <w:rPr>
                <w:rtl w:val="0"/>
              </w:rPr>
            </w:r>
          </w:p>
        </w:tc>
      </w:tr>
      <w:tr>
        <w:trPr>
          <w:cantSplit w:val="0"/>
          <w:tblHeader w:val="0"/>
        </w:trPr>
        <w:tc>
          <w:tcPr/>
          <w:p w:rsidR="00000000" w:rsidDel="00000000" w:rsidP="00000000" w:rsidRDefault="00000000" w:rsidRPr="00000000" w14:paraId="0000002F">
            <w:pPr>
              <w:rPr/>
            </w:pPr>
            <w:r w:rsidDel="00000000" w:rsidR="00000000" w:rsidRPr="00000000">
              <w:rPr>
                <w:rtl w:val="0"/>
              </w:rPr>
              <w:t>Data &amp; Reproducibility Lead</w:t>
            </w:r>
          </w:p>
        </w:tc>
        <w:tc>
          <w:tcPr/>
          <w:p w:rsidR="00000000" w:rsidDel="00000000" w:rsidP="00000000" w:rsidRDefault="00000000" w:rsidRPr="00000000" w14:paraId="00000030">
            <w:pPr>
              <w:rPr/>
            </w:pPr>
            <w:r w:rsidDel="00000000" w:rsidR="00000000" w:rsidRPr="00000000">
              <w:rPr>
                <w:rtl w:val="0"/>
              </w:rPr>
              <w:t>Leakage-safe feature windows, fixed split, pipeline, model card</w:t>
            </w:r>
          </w:p>
        </w:tc>
        <w:tc>
          <w:tcPr/>
          <w:p w:rsidR="00000000" w:rsidDel="00000000" w:rsidP="00000000" w:rsidRDefault="00000000" w:rsidRPr="00000000" w14:paraId="00000031">
            <w:pPr>
              <w:rPr/>
            </w:pPr>
            <w:r w:rsidDel="00000000" w:rsidR="00000000" w:rsidRPr="00000000">
              <w:rPr>
                <w:rtl w:val="0"/>
              </w:rPr>
              <w:t>1, 8, 9</w:t>
            </w:r>
          </w:p>
        </w:tc>
      </w:tr>
      <w:tr>
        <w:trPr>
          <w:cantSplit w:val="0"/>
          <w:tblHeader w:val="0"/>
        </w:trPr>
        <w:tc>
          <w:tcPr/>
          <w:p w:rsidR="00000000" w:rsidDel="00000000" w:rsidP="00000000" w:rsidRDefault="00000000" w:rsidRPr="00000000" w14:paraId="00000032">
            <w:pPr>
              <w:rPr/>
            </w:pPr>
            <w:r w:rsidDel="00000000" w:rsidR="00000000" w:rsidRPr="00000000">
              <w:rPr>
                <w:rtl w:val="0"/>
              </w:rPr>
              <w:t>Modeling Lead</w:t>
            </w:r>
          </w:p>
        </w:tc>
        <w:tc>
          <w:tcPr/>
          <w:p w:rsidR="00000000" w:rsidDel="00000000" w:rsidP="00000000" w:rsidRDefault="00000000" w:rsidRPr="00000000" w14:paraId="00000033">
            <w:pPr>
              <w:rPr/>
            </w:pPr>
            <w:r w:rsidDel="00000000" w:rsidR="00000000" w:rsidRPr="00000000">
              <w:rPr>
                <w:rtl w:val="0"/>
              </w:rPr>
              <w:t>TFM feasibility/selection and same-test-set baselines</w:t>
            </w:r>
          </w:p>
        </w:tc>
        <w:tc>
          <w:tcPr/>
          <w:p w:rsidR="00000000" w:rsidDel="00000000" w:rsidP="00000000" w:rsidRDefault="00000000" w:rsidRPr="00000000" w14:paraId="00000034">
            <w:pPr>
              <w:rPr/>
            </w:pPr>
            <w:r w:rsidDel="00000000" w:rsidR="00000000" w:rsidRPr="00000000">
              <w:rPr>
                <w:rtl w:val="0"/>
              </w:rPr>
              <w:t>2, 7</w:t>
            </w:r>
          </w:p>
        </w:tc>
      </w:tr>
      <w:tr>
        <w:trPr>
          <w:cantSplit w:val="0"/>
          <w:tblHeader w:val="0"/>
        </w:trPr>
        <w:tc>
          <w:tcPr/>
          <w:p w:rsidR="00000000" w:rsidDel="00000000" w:rsidP="00000000" w:rsidRDefault="00000000" w:rsidRPr="00000000" w14:paraId="00000035">
            <w:pPr>
              <w:rPr/>
            </w:pPr>
            <w:r w:rsidDel="00000000" w:rsidR="00000000" w:rsidRPr="00000000">
              <w:rPr>
                <w:rtl w:val="0"/>
              </w:rPr>
              <w:t>Explanation Evidence Lead</w:t>
            </w:r>
          </w:p>
        </w:tc>
        <w:tc>
          <w:tcPr/>
          <w:p w:rsidR="00000000" w:rsidDel="00000000" w:rsidP="00000000" w:rsidRDefault="00000000" w:rsidRPr="00000000" w14:paraId="00000036">
            <w:pPr>
              <w:rPr/>
            </w:pPr>
            <w:r w:rsidDel="00000000" w:rsidR="00000000" w:rsidRPr="00000000">
              <w:rPr>
                <w:rtl w:val="0"/>
              </w:rPr>
              <w:t>Model-agnostic SHAP, deletion curves, calibration check</w:t>
            </w:r>
          </w:p>
        </w:tc>
        <w:tc>
          <w:tcPr/>
          <w:p w:rsidR="00000000" w:rsidDel="00000000" w:rsidP="00000000" w:rsidRDefault="00000000" w:rsidRPr="00000000" w14:paraId="00000037">
            <w:pPr>
              <w:rPr/>
            </w:pPr>
            <w:r w:rsidDel="00000000" w:rsidR="00000000" w:rsidRPr="00000000">
              <w:rPr>
                <w:rtl w:val="0"/>
              </w:rPr>
              <w:t>3</w:t>
            </w:r>
          </w:p>
        </w:tc>
      </w:tr>
      <w:tr>
        <w:trPr>
          <w:cantSplit w:val="0"/>
          <w:tblHeader w:val="0"/>
        </w:trPr>
        <w:tc>
          <w:tcPr/>
          <w:p w:rsidR="00000000" w:rsidDel="00000000" w:rsidP="00000000" w:rsidRDefault="00000000" w:rsidRPr="00000000" w14:paraId="00000038">
            <w:pPr>
              <w:rPr/>
            </w:pPr>
            <w:r w:rsidDel="00000000" w:rsidR="00000000" w:rsidRPr="00000000">
              <w:rPr>
                <w:rtl w:val="0"/>
              </w:rPr>
              <w:t>Stability &amp; Actionability Lead</w:t>
            </w:r>
          </w:p>
        </w:tc>
        <w:tc>
          <w:tcPr/>
          <w:p w:rsidR="00000000" w:rsidDel="00000000" w:rsidP="00000000" w:rsidRDefault="00000000" w:rsidRPr="00000000" w14:paraId="00000039">
            <w:pPr>
              <w:rPr/>
            </w:pPr>
            <w:r w:rsidDel="00000000" w:rsidR="00000000" w:rsidRPr="00000000">
              <w:rPr>
                <w:rtl w:val="0"/>
              </w:rPr>
              <w:t>Rerun/perturbation protocol and constrained counterfactuals</w:t>
            </w:r>
          </w:p>
        </w:tc>
        <w:tc>
          <w:tcPr/>
          <w:p w:rsidR="00000000" w:rsidDel="00000000" w:rsidP="00000000" w:rsidRDefault="00000000" w:rsidRPr="00000000" w14:paraId="0000003A">
            <w:pPr>
              <w:rPr/>
            </w:pPr>
            <w:r w:rsidDel="00000000" w:rsidR="00000000" w:rsidRPr="00000000">
              <w:rPr>
                <w:rtl w:val="0"/>
              </w:rPr>
              <w:t>4, 6</w:t>
            </w:r>
          </w:p>
        </w:tc>
      </w:tr>
      <w:tr>
        <w:trPr>
          <w:cantSplit w:val="0"/>
          <w:tblHeader w:val="0"/>
        </w:trPr>
        <w:tc>
          <w:tcPr/>
          <w:p w:rsidR="00000000" w:rsidDel="00000000" w:rsidP="00000000" w:rsidRDefault="00000000" w:rsidRPr="00000000" w14:paraId="0000003B">
            <w:pPr>
              <w:rPr/>
            </w:pPr>
            <w:r w:rsidDel="00000000" w:rsidR="00000000" w:rsidRPr="00000000">
              <w:rPr>
                <w:rtl w:val="0"/>
              </w:rPr>
              <w:t>Human Study, Ethics &amp; Text Lead</w:t>
            </w:r>
          </w:p>
        </w:tc>
        <w:tc>
          <w:tcPr/>
          <w:p w:rsidR="00000000" w:rsidDel="00000000" w:rsidP="00000000" w:rsidRDefault="00000000" w:rsidRPr="00000000" w14:paraId="0000003C">
            <w:pPr>
              <w:rPr/>
            </w:pPr>
            <w:r w:rsidDel="00000000" w:rsidR="00000000" w:rsidRPr="00000000">
              <w:rPr>
                <w:rtl w:val="0"/>
              </w:rPr>
              <w:t>Forward simulation, free-text coding, ethics, capped review-theme audit</w:t>
            </w:r>
          </w:p>
        </w:tc>
        <w:tc>
          <w:tcPr/>
          <w:p w:rsidR="00000000" w:rsidDel="00000000" w:rsidP="00000000" w:rsidRDefault="00000000" w:rsidRPr="00000000" w14:paraId="0000003D">
            <w:pPr>
              <w:rPr/>
            </w:pPr>
            <w:r w:rsidDel="00000000" w:rsidR="00000000" w:rsidRPr="00000000">
              <w:rPr>
                <w:rtl w:val="0"/>
              </w:rPr>
              <w:t>5, 8</w:t>
            </w:r>
          </w:p>
        </w:tc>
      </w:tr>
    </w:tbl>
    <w:p w:rsidR="00000000" w:rsidDel="00000000" w:rsidP="00000000" w:rsidRDefault="00000000" w:rsidRPr="00000000" w14:paraId="0000003E">
      <w:pPr>
        <w:spacing w:after="40" w:lineRule="auto"/>
        <w:rPr/>
      </w:pPr>
      <w:r w:rsidDel="00000000" w:rsidR="00000000" w:rsidRPr="00000000">
        <w:rPr>
          <w:rtl w:val="0"/>
        </w:rPr>
      </w:r>
    </w:p>
    <w:p w:rsidR="00000000" w:rsidDel="00000000" w:rsidP="00000000" w:rsidRDefault="00000000" w:rsidRPr="00000000" w14:paraId="0000003F">
      <w:pPr>
        <w:pStyle w:val="Heading1"/>
        <w:spacing w:after="80" w:before="240" w:lineRule="auto"/>
        <w:rPr/>
      </w:pPr>
      <w:r w:rsidDel="00000000" w:rsidR="00000000" w:rsidRPr="00000000">
        <w:rPr>
          <w:color w:val="2c5f8a"/>
          <w:sz w:val="28"/>
          <w:szCs w:val="28"/>
          <w:rtl w:val="0"/>
        </w:rPr>
        <w:t xml:space="preserve">10. Contribution</w:t>
      </w: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The contribution is not another accuracy-only application of the UCI dataset. It is a leakage-aware early-warning study of whether a tabular foundation model's local explanations deserve trust. We combine same-test-set baselines with deletion-based faithfulness, repeated-run and perturbation stability, a human forward-simulation test, and feasibility-constrained counterfactuals. The small review-text supplement adds a bounded coverage audit: it asks which student-experience themes appear in public narratives but are absent from the institutional feature set, without pretending that unrelated reviews validate individual UCI predictions.</w:t>
      </w:r>
    </w:p>
    <w:p w:rsidR="00000000" w:rsidDel="00000000" w:rsidP="00000000" w:rsidRDefault="00000000" w:rsidRPr="00000000" w14:paraId="00000041">
      <w:pPr>
        <w:pStyle w:val="Heading1"/>
        <w:spacing w:after="80" w:before="240" w:lineRule="auto"/>
        <w:rPr/>
      </w:pPr>
      <w:r w:rsidDel="00000000" w:rsidR="00000000" w:rsidRPr="00000000">
        <w:rPr>
          <w:color w:val="2c5f8a"/>
          <w:sz w:val="28"/>
          <w:szCs w:val="28"/>
          <w:rtl w:val="0"/>
        </w:rPr>
        <w:t xml:space="preserve">References</w:t>
      </w: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Realinho, V., Vieira Martins, M., Machado, J., &amp; Baptista, L. (2021). Predict Students’ Dropout and Academic Success [Dataset]. UCI Machine Learning Repository. https://doi.org/10.24432/C5MC89</w:t>
        <w:br/>
        <w:t>Hollmann, N., Müller, S., Purucker, L., et al. (2025). Accurate predictions on small data with a tabular foundation model. Nature, 637, 319–326. https://doi.org/10.1038/s41586-024-08328-6</w:t>
        <w:br/>
        <w:t>Lundberg, S. M., &amp; Lee, S.-I. (2017). A unified approach to interpreting model predictions. Advances in Neural Information Processing Systems, 30.</w:t>
      </w:r>
    </w:p>
    <w:sectPr>
      <w:pgSz w:h="15840" w:w="12240" w:orient="portrait"/>
      <w:pgMar w:bottom="1152" w:top="1152" w:left="1296" w:right="129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itchayada Theppithuk" w:id="0" w:date="2026-09-16T07:33:05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4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LPVHJ6ACLq9RPR+HCzZHv44c5w==">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title>Catching Students Before They Leave</dc:title>
  <dc:subject>Updated XDS group project proposal: UCI tabular foundation model and explanation evaluation</dc:subject>
  <dcterms:modified xsi:type="dcterms:W3CDTF">2026-09-17T09:39:17Z</dcterms:modified>
</cp:coreProperties>
</file>