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B23" w:rsidRDefault="00036B23" w:rsidP="00036B23">
      <w:pPr>
        <w:pStyle w:val="Title"/>
      </w:pPr>
      <w:r>
        <w:t>Ericsson Capstone Weekly Report</w:t>
      </w:r>
    </w:p>
    <w:p w:rsidR="00396947" w:rsidRDefault="00036B23" w:rsidP="009976A8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27FA">
        <w:t>February 8</w:t>
      </w:r>
      <w:r w:rsidR="000627FA">
        <w:rPr>
          <w:vertAlign w:val="superscript"/>
        </w:rPr>
        <w:t>th</w:t>
      </w:r>
      <w:r w:rsidR="009976A8">
        <w:t>, 2013</w:t>
      </w:r>
    </w:p>
    <w:p w:rsidR="00396947" w:rsidRPr="00C16DDF" w:rsidRDefault="00396947" w:rsidP="00396947">
      <w:pPr>
        <w:jc w:val="center"/>
        <w:rPr>
          <w:b/>
          <w:sz w:val="24"/>
        </w:rPr>
      </w:pPr>
      <w:r w:rsidRPr="00C16DDF">
        <w:rPr>
          <w:b/>
          <w:sz w:val="24"/>
        </w:rPr>
        <w:t>Chris Berstler</w:t>
      </w:r>
      <w:r w:rsidRPr="00536AD4">
        <w:rPr>
          <w:sz w:val="24"/>
        </w:rPr>
        <w:t xml:space="preserve"> –</w:t>
      </w:r>
      <w:r w:rsidRPr="00C16DDF">
        <w:rPr>
          <w:b/>
          <w:sz w:val="24"/>
        </w:rPr>
        <w:t xml:space="preserve"> Jeff Geiser</w:t>
      </w:r>
      <w:r w:rsidRPr="00536AD4">
        <w:rPr>
          <w:sz w:val="24"/>
        </w:rPr>
        <w:t xml:space="preserve"> –</w:t>
      </w:r>
      <w:r w:rsidRPr="00C16DDF">
        <w:rPr>
          <w:b/>
          <w:sz w:val="24"/>
        </w:rPr>
        <w:t xml:space="preserve"> Shane Reetz</w:t>
      </w:r>
      <w:r w:rsidRPr="00536AD4">
        <w:rPr>
          <w:sz w:val="24"/>
        </w:rPr>
        <w:t xml:space="preserve"> –</w:t>
      </w:r>
      <w:r w:rsidRPr="00C16DDF">
        <w:rPr>
          <w:b/>
          <w:sz w:val="24"/>
        </w:rPr>
        <w:t xml:space="preserve"> Sam Stutsman</w:t>
      </w:r>
    </w:p>
    <w:p w:rsidR="00396947" w:rsidRPr="00396947" w:rsidRDefault="00396947" w:rsidP="00396947">
      <w:pPr>
        <w:rPr>
          <w:sz w:val="24"/>
        </w:rPr>
      </w:pPr>
    </w:p>
    <w:p w:rsidR="005A5E47" w:rsidRDefault="00396947" w:rsidP="00396947">
      <w:pPr>
        <w:pStyle w:val="Heading1"/>
      </w:pPr>
      <w:r>
        <w:t>Status Summary</w:t>
      </w:r>
    </w:p>
    <w:p w:rsidR="009E3BAD" w:rsidRPr="00600DF5" w:rsidRDefault="009E3BAD" w:rsidP="009E3BAD">
      <w:pPr>
        <w:rPr>
          <w:sz w:val="24"/>
        </w:rPr>
      </w:pPr>
      <w:r>
        <w:tab/>
      </w:r>
      <w:r w:rsidR="00600DF5">
        <w:rPr>
          <w:sz w:val="24"/>
        </w:rPr>
        <w:t xml:space="preserve">With the documentation out of the way, we are motivated to get to the </w:t>
      </w:r>
      <w:r w:rsidR="00600DF5">
        <w:rPr>
          <w:i/>
          <w:sz w:val="24"/>
        </w:rPr>
        <w:t>fun</w:t>
      </w:r>
      <w:r w:rsidR="00600DF5">
        <w:rPr>
          <w:sz w:val="24"/>
        </w:rPr>
        <w:t xml:space="preserve"> of actually programming. We met Thursday and Friday to both work, and on Thursday to meet with Dean Knudson where we discussed licencing issues that may arrise with this project.</w:t>
      </w:r>
    </w:p>
    <w:p w:rsidR="00B72A66" w:rsidRDefault="00B72A66" w:rsidP="00396947">
      <w:pPr>
        <w:ind w:firstLine="720"/>
        <w:rPr>
          <w:sz w:val="24"/>
        </w:rPr>
      </w:pPr>
    </w:p>
    <w:p w:rsidR="00B72A66" w:rsidRDefault="00B72A66" w:rsidP="00B72A66">
      <w:pPr>
        <w:pStyle w:val="Heading1"/>
      </w:pPr>
      <w:r>
        <w:t>Highlights</w:t>
      </w:r>
    </w:p>
    <w:p w:rsidR="001E5DED" w:rsidRPr="00331D5A" w:rsidRDefault="00AF417E" w:rsidP="00AD06DA">
      <w:pPr>
        <w:rPr>
          <w:sz w:val="24"/>
        </w:rPr>
      </w:pPr>
      <w:r>
        <w:tab/>
      </w:r>
      <w:r w:rsidR="00600DF5">
        <w:rPr>
          <w:sz w:val="24"/>
        </w:rPr>
        <w:t>We're ready to get coding, and aside from any changing requirements and the unlikely change to the design, we shouldn't need to do anymore documentation.</w:t>
      </w:r>
    </w:p>
    <w:p w:rsidR="005A5E47" w:rsidRDefault="00AD06DA" w:rsidP="005A5E47">
      <w:pPr>
        <w:pStyle w:val="Heading1"/>
      </w:pPr>
      <w:r>
        <w:t>Lowlights</w:t>
      </w:r>
    </w:p>
    <w:p w:rsidR="003D077F" w:rsidRPr="00331D5A" w:rsidRDefault="003D077F" w:rsidP="003D077F">
      <w:pPr>
        <w:rPr>
          <w:sz w:val="24"/>
        </w:rPr>
      </w:pPr>
      <w:r>
        <w:tab/>
      </w:r>
      <w:bookmarkStart w:id="0" w:name="_GoBack"/>
      <w:bookmarkEnd w:id="0"/>
      <w:r w:rsidR="00600DF5">
        <w:rPr>
          <w:sz w:val="24"/>
        </w:rPr>
        <w:t>We're probably going to have to give some rights of our program to NDSU.</w:t>
      </w:r>
    </w:p>
    <w:p w:rsidR="002D641D" w:rsidRDefault="005A5E47" w:rsidP="005A5E47">
      <w:pPr>
        <w:rPr>
          <w:sz w:val="24"/>
        </w:rPr>
      </w:pPr>
      <w:r>
        <w:rPr>
          <w:sz w:val="24"/>
        </w:rPr>
        <w:tab/>
      </w:r>
    </w:p>
    <w:p w:rsidR="002D641D" w:rsidRDefault="004123F5" w:rsidP="002D641D">
      <w:pPr>
        <w:pStyle w:val="Heading1"/>
      </w:pPr>
      <w:r>
        <w:t>Accomplishments</w:t>
      </w:r>
    </w:p>
    <w:p w:rsidR="003D2221" w:rsidRDefault="00600DF5" w:rsidP="00E919E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DD completed</w:t>
      </w:r>
    </w:p>
    <w:p w:rsidR="0098154C" w:rsidRDefault="00600DF5" w:rsidP="00007A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Meeting with Oskar</w:t>
      </w:r>
    </w:p>
    <w:p w:rsidR="00600DF5" w:rsidRDefault="00600DF5" w:rsidP="00007A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Meeting with Dean Knudson</w:t>
      </w:r>
    </w:p>
    <w:p w:rsidR="0098154C" w:rsidRDefault="0098154C" w:rsidP="0098154C">
      <w:pPr>
        <w:pStyle w:val="Heading1"/>
      </w:pPr>
      <w:r>
        <w:t>Goals</w:t>
      </w:r>
      <w:r w:rsidR="0060346A">
        <w:t xml:space="preserve"> for Next Week</w:t>
      </w:r>
    </w:p>
    <w:p w:rsidR="00D6021A" w:rsidRDefault="0098154C" w:rsidP="00600DF5">
      <w:pPr>
        <w:rPr>
          <w:sz w:val="24"/>
        </w:rPr>
      </w:pPr>
      <w:r>
        <w:tab/>
      </w:r>
      <w:r w:rsidR="00600DF5">
        <w:rPr>
          <w:sz w:val="24"/>
        </w:rPr>
        <w:t>Working prototype</w:t>
      </w:r>
    </w:p>
    <w:p w:rsidR="00600DF5" w:rsidRDefault="00600DF5" w:rsidP="00600DF5">
      <w:pPr>
        <w:rPr>
          <w:sz w:val="24"/>
        </w:rPr>
      </w:pPr>
      <w:r>
        <w:rPr>
          <w:sz w:val="24"/>
        </w:rPr>
        <w:tab/>
        <w:t>Implement the skeleton of the program</w:t>
      </w:r>
    </w:p>
    <w:p w:rsidR="00091A6C" w:rsidRDefault="00091A6C" w:rsidP="00091A6C">
      <w:pPr>
        <w:rPr>
          <w:sz w:val="24"/>
        </w:rPr>
      </w:pPr>
    </w:p>
    <w:p w:rsidR="00091A6C" w:rsidRDefault="00091A6C" w:rsidP="00091A6C">
      <w:pPr>
        <w:pStyle w:val="Heading1"/>
      </w:pPr>
      <w:r>
        <w:t>Risks</w:t>
      </w:r>
      <w:r w:rsidR="001E5F11">
        <w:t xml:space="preserve"> - None identified yet</w:t>
      </w:r>
    </w:p>
    <w:tbl>
      <w:tblPr>
        <w:tblStyle w:val="TableGrid"/>
        <w:tblW w:w="0" w:type="auto"/>
        <w:tblLook w:val="04A0"/>
      </w:tblPr>
      <w:tblGrid>
        <w:gridCol w:w="1078"/>
        <w:gridCol w:w="1174"/>
        <w:gridCol w:w="1033"/>
        <w:gridCol w:w="1192"/>
        <w:gridCol w:w="2154"/>
        <w:gridCol w:w="1197"/>
        <w:gridCol w:w="1199"/>
        <w:gridCol w:w="1989"/>
      </w:tblGrid>
      <w:tr w:rsidR="00091A6C" w:rsidTr="00091A6C">
        <w:tc>
          <w:tcPr>
            <w:tcW w:w="1078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ID#</w:t>
            </w:r>
          </w:p>
        </w:tc>
        <w:tc>
          <w:tcPr>
            <w:tcW w:w="1174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Status</w:t>
            </w:r>
          </w:p>
        </w:tc>
        <w:tc>
          <w:tcPr>
            <w:tcW w:w="1033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</w:p>
        </w:tc>
        <w:tc>
          <w:tcPr>
            <w:tcW w:w="1192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Owner</w:t>
            </w:r>
          </w:p>
        </w:tc>
        <w:tc>
          <w:tcPr>
            <w:tcW w:w="2154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Probability/Priority</w:t>
            </w:r>
          </w:p>
        </w:tc>
        <w:tc>
          <w:tcPr>
            <w:tcW w:w="1197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Impact</w:t>
            </w:r>
          </w:p>
        </w:tc>
        <w:tc>
          <w:tcPr>
            <w:tcW w:w="1199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Trigger</w:t>
            </w:r>
          </w:p>
        </w:tc>
        <w:tc>
          <w:tcPr>
            <w:tcW w:w="1989" w:type="dxa"/>
          </w:tcPr>
          <w:p w:rsidR="00091A6C" w:rsidRPr="00091A6C" w:rsidRDefault="00091A6C" w:rsidP="00091A6C">
            <w:pPr>
              <w:jc w:val="center"/>
              <w:rPr>
                <w:b/>
                <w:sz w:val="24"/>
              </w:rPr>
            </w:pPr>
            <w:r w:rsidRPr="00091A6C">
              <w:rPr>
                <w:b/>
                <w:sz w:val="24"/>
              </w:rPr>
              <w:t>Recommendation</w:t>
            </w:r>
          </w:p>
        </w:tc>
      </w:tr>
      <w:tr w:rsidR="00091A6C" w:rsidTr="00091A6C">
        <w:tc>
          <w:tcPr>
            <w:tcW w:w="1078" w:type="dxa"/>
          </w:tcPr>
          <w:p w:rsidR="00091A6C" w:rsidRPr="00091A6C" w:rsidRDefault="00091A6C" w:rsidP="00091A6C">
            <w:pPr>
              <w:rPr>
                <w:sz w:val="24"/>
              </w:rPr>
            </w:pPr>
            <w:r>
              <w:rPr>
                <w:sz w:val="24"/>
              </w:rPr>
              <w:t>R</w:t>
            </w:r>
            <w:r w:rsidRPr="00091A6C">
              <w:rPr>
                <w:sz w:val="24"/>
              </w:rPr>
              <w:t>0001</w:t>
            </w:r>
          </w:p>
        </w:tc>
        <w:tc>
          <w:tcPr>
            <w:tcW w:w="1174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033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192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2154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197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199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  <w:tc>
          <w:tcPr>
            <w:tcW w:w="1989" w:type="dxa"/>
          </w:tcPr>
          <w:p w:rsidR="00091A6C" w:rsidRPr="00091A6C" w:rsidRDefault="00091A6C" w:rsidP="00091A6C">
            <w:pPr>
              <w:rPr>
                <w:sz w:val="24"/>
              </w:rPr>
            </w:pPr>
          </w:p>
        </w:tc>
      </w:tr>
    </w:tbl>
    <w:p w:rsidR="00091A6C" w:rsidRDefault="00091A6C" w:rsidP="00091A6C"/>
    <w:p w:rsidR="00091A6C" w:rsidRDefault="00091A6C" w:rsidP="00091A6C">
      <w:pPr>
        <w:pStyle w:val="Heading1"/>
      </w:pPr>
      <w:r>
        <w:t>Issues</w:t>
      </w:r>
      <w:r w:rsidR="001E5F11">
        <w:t xml:space="preserve"> - </w:t>
      </w:r>
    </w:p>
    <w:tbl>
      <w:tblPr>
        <w:tblStyle w:val="TableGrid"/>
        <w:tblW w:w="0" w:type="auto"/>
        <w:tblLook w:val="04A0"/>
      </w:tblPr>
      <w:tblGrid>
        <w:gridCol w:w="1330"/>
        <w:gridCol w:w="1342"/>
        <w:gridCol w:w="1338"/>
        <w:gridCol w:w="1345"/>
        <w:gridCol w:w="1336"/>
        <w:gridCol w:w="1346"/>
        <w:gridCol w:w="1989"/>
      </w:tblGrid>
      <w:tr w:rsidR="00091A6C" w:rsidTr="00091A6C">
        <w:tc>
          <w:tcPr>
            <w:tcW w:w="1330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lastRenderedPageBreak/>
              <w:t>ID#</w:t>
            </w:r>
          </w:p>
        </w:tc>
        <w:tc>
          <w:tcPr>
            <w:tcW w:w="1342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Status</w:t>
            </w:r>
          </w:p>
        </w:tc>
        <w:tc>
          <w:tcPr>
            <w:tcW w:w="1338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Issue</w:t>
            </w:r>
          </w:p>
        </w:tc>
        <w:tc>
          <w:tcPr>
            <w:tcW w:w="1345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Owner</w:t>
            </w:r>
          </w:p>
        </w:tc>
        <w:tc>
          <w:tcPr>
            <w:tcW w:w="1336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Due Date</w:t>
            </w:r>
          </w:p>
        </w:tc>
        <w:tc>
          <w:tcPr>
            <w:tcW w:w="1346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Impact</w:t>
            </w:r>
          </w:p>
        </w:tc>
        <w:tc>
          <w:tcPr>
            <w:tcW w:w="1663" w:type="dxa"/>
          </w:tcPr>
          <w:p w:rsidR="00091A6C" w:rsidRPr="009E3BAD" w:rsidRDefault="00091A6C" w:rsidP="00091A6C">
            <w:pPr>
              <w:jc w:val="center"/>
              <w:rPr>
                <w:b/>
                <w:sz w:val="24"/>
              </w:rPr>
            </w:pPr>
            <w:r w:rsidRPr="009E3BAD">
              <w:rPr>
                <w:b/>
                <w:sz w:val="24"/>
              </w:rPr>
              <w:t>Recommendation</w:t>
            </w:r>
          </w:p>
        </w:tc>
      </w:tr>
      <w:tr w:rsidR="00091A6C" w:rsidTr="00091A6C">
        <w:tc>
          <w:tcPr>
            <w:tcW w:w="1330" w:type="dxa"/>
          </w:tcPr>
          <w:p w:rsidR="00091A6C" w:rsidRDefault="00091A6C" w:rsidP="00091A6C">
            <w:r>
              <w:t>I0001</w:t>
            </w:r>
          </w:p>
        </w:tc>
        <w:tc>
          <w:tcPr>
            <w:tcW w:w="1342" w:type="dxa"/>
          </w:tcPr>
          <w:p w:rsidR="00091A6C" w:rsidRDefault="00091A6C" w:rsidP="00091A6C"/>
        </w:tc>
        <w:tc>
          <w:tcPr>
            <w:tcW w:w="1338" w:type="dxa"/>
          </w:tcPr>
          <w:p w:rsidR="00091A6C" w:rsidRDefault="00091A6C" w:rsidP="00091A6C"/>
        </w:tc>
        <w:tc>
          <w:tcPr>
            <w:tcW w:w="1345" w:type="dxa"/>
          </w:tcPr>
          <w:p w:rsidR="00091A6C" w:rsidRDefault="00091A6C" w:rsidP="00091A6C"/>
        </w:tc>
        <w:tc>
          <w:tcPr>
            <w:tcW w:w="1336" w:type="dxa"/>
          </w:tcPr>
          <w:p w:rsidR="00091A6C" w:rsidRDefault="00091A6C" w:rsidP="00091A6C"/>
        </w:tc>
        <w:tc>
          <w:tcPr>
            <w:tcW w:w="1346" w:type="dxa"/>
          </w:tcPr>
          <w:p w:rsidR="00091A6C" w:rsidRDefault="00091A6C" w:rsidP="00091A6C"/>
        </w:tc>
        <w:tc>
          <w:tcPr>
            <w:tcW w:w="1663" w:type="dxa"/>
          </w:tcPr>
          <w:p w:rsidR="00091A6C" w:rsidRDefault="00091A6C" w:rsidP="00091A6C"/>
        </w:tc>
      </w:tr>
    </w:tbl>
    <w:p w:rsidR="00091A6C" w:rsidRDefault="00091A6C" w:rsidP="00091A6C"/>
    <w:tbl>
      <w:tblPr>
        <w:tblStyle w:val="TableGrid"/>
        <w:tblW w:w="0" w:type="auto"/>
        <w:tblLook w:val="04A0"/>
      </w:tblPr>
      <w:tblGrid>
        <w:gridCol w:w="1049"/>
        <w:gridCol w:w="678"/>
        <w:gridCol w:w="677"/>
        <w:gridCol w:w="738"/>
        <w:gridCol w:w="738"/>
        <w:gridCol w:w="677"/>
        <w:gridCol w:w="677"/>
        <w:gridCol w:w="738"/>
        <w:gridCol w:w="738"/>
        <w:gridCol w:w="738"/>
        <w:gridCol w:w="677"/>
        <w:gridCol w:w="738"/>
        <w:gridCol w:w="738"/>
        <w:gridCol w:w="738"/>
        <w:gridCol w:w="677"/>
      </w:tblGrid>
      <w:tr w:rsidR="009E3BAD" w:rsidRPr="00C05B7B" w:rsidTr="00600DF5">
        <w:trPr>
          <w:trHeight w:val="300"/>
        </w:trPr>
        <w:tc>
          <w:tcPr>
            <w:tcW w:w="0" w:type="auto"/>
            <w:hideMark/>
          </w:tcPr>
          <w:p w:rsidR="009E3BAD" w:rsidRPr="00C05B7B" w:rsidRDefault="009E3BAD" w:rsidP="00237279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677" w:type="dxa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674" w:type="dxa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802" w:type="dxa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9E3BAD" w:rsidRPr="00E25D04" w:rsidRDefault="009E3BAD" w:rsidP="00237279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9E3BAD" w:rsidRPr="00C05B7B" w:rsidTr="00600DF5">
        <w:trPr>
          <w:trHeight w:val="300"/>
        </w:trPr>
        <w:tc>
          <w:tcPr>
            <w:tcW w:w="0" w:type="auto"/>
            <w:hideMark/>
          </w:tcPr>
          <w:p w:rsidR="009E3BAD" w:rsidRDefault="009E3BAD" w:rsidP="00237279">
            <w:r>
              <w:t>Planned milestone events are being met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5B0419" w:rsidP="00237279">
            <w:r>
              <w:t>OK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OK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300"/>
        </w:trPr>
        <w:tc>
          <w:tcPr>
            <w:tcW w:w="0" w:type="auto"/>
            <w:hideMark/>
          </w:tcPr>
          <w:p w:rsidR="009E3BAD" w:rsidRDefault="009E3BAD" w:rsidP="00237279">
            <w:r>
              <w:t>Budget is under control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N/A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5B0419" w:rsidP="00237279">
            <w:r>
              <w:t>N/A</w:t>
            </w:r>
          </w:p>
        </w:tc>
        <w:tc>
          <w:tcPr>
            <w:tcW w:w="674" w:type="dxa"/>
            <w:noWrap/>
            <w:hideMark/>
          </w:tcPr>
          <w:p w:rsidR="00600DF5" w:rsidRPr="00C05B7B" w:rsidRDefault="00600DF5" w:rsidP="00237279">
            <w:r>
              <w:t>N/A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Quality control results are within specifications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N/A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5B0419" w:rsidP="00237279">
            <w:r>
              <w:t>N/A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N/A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Change control process indicates minimal requests for change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DC7833" w:rsidP="00237279">
            <w:r>
              <w:t>OK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OK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Project resources are being supplied per schedule and skill levels are adequate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586B20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DC7833" w:rsidP="00237279">
            <w:r>
              <w:t>OK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OK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Project team appears to be cohesive and reasonably happy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141920" w:rsidP="00237279">
            <w:r>
              <w:t>OK</w:t>
            </w:r>
            <w:r w:rsidR="005F191D">
              <w:t>!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DC7833" w:rsidP="00237279">
            <w:r>
              <w:t>OK!!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OK!!!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 xml:space="preserve">Users seem satisfied with progress of the </w:t>
            </w:r>
            <w:r>
              <w:lastRenderedPageBreak/>
              <w:t>work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7925EF" w:rsidP="00237279">
            <w:r>
              <w:lastRenderedPageBreak/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E403F5" w:rsidP="00237279">
            <w:r>
              <w:t>OK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OK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lastRenderedPageBreak/>
              <w:t>Top management remains visibly supportive of the project goals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0F3910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E403F5" w:rsidP="00237279">
            <w:r>
              <w:t>OK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OK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Third-party vendors are delivering quality items on schedule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  <w:tc>
          <w:tcPr>
            <w:tcW w:w="0" w:type="auto"/>
            <w:noWrap/>
            <w:hideMark/>
          </w:tcPr>
          <w:p w:rsidR="009E3BAD" w:rsidRPr="00C05B7B" w:rsidRDefault="009E3BAD" w:rsidP="00237279">
            <w:r>
              <w:t>NA</w:t>
            </w:r>
          </w:p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Risk events are under control and nothing unusual is appearing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113B3" w:rsidP="00237279">
            <w:r>
              <w:t>N/A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C473F1" w:rsidP="00237279">
            <w:r>
              <w:t>OK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OK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Default="009E3BAD" w:rsidP="00237279">
            <w:r>
              <w:t>Project training program is progressing according to plan</w:t>
            </w:r>
          </w:p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113B3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C473F1" w:rsidP="00237279">
            <w:r>
              <w:t>OK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OK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  <w:tr w:rsidR="009E3BAD" w:rsidRPr="00C05B7B" w:rsidTr="00600DF5">
        <w:trPr>
          <w:trHeight w:val="540"/>
        </w:trPr>
        <w:tc>
          <w:tcPr>
            <w:tcW w:w="0" w:type="auto"/>
            <w:hideMark/>
          </w:tcPr>
          <w:p w:rsidR="009E3BAD" w:rsidRPr="00C05B7B" w:rsidRDefault="009E3BAD" w:rsidP="00237279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9E3BAD" w:rsidRPr="00C05B7B" w:rsidRDefault="00363F9F" w:rsidP="00237279">
            <w:r>
              <w:t>OK</w:t>
            </w:r>
          </w:p>
        </w:tc>
        <w:tc>
          <w:tcPr>
            <w:tcW w:w="677" w:type="dxa"/>
            <w:noWrap/>
            <w:hideMark/>
          </w:tcPr>
          <w:p w:rsidR="009E3BAD" w:rsidRPr="00C05B7B" w:rsidRDefault="00C473F1" w:rsidP="00237279">
            <w:r>
              <w:t>OK</w:t>
            </w:r>
          </w:p>
        </w:tc>
        <w:tc>
          <w:tcPr>
            <w:tcW w:w="674" w:type="dxa"/>
            <w:noWrap/>
            <w:hideMark/>
          </w:tcPr>
          <w:p w:rsidR="009E3BAD" w:rsidRPr="00C05B7B" w:rsidRDefault="00600DF5" w:rsidP="00237279">
            <w:r>
              <w:t>OK</w:t>
            </w:r>
          </w:p>
        </w:tc>
        <w:tc>
          <w:tcPr>
            <w:tcW w:w="802" w:type="dxa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  <w:tc>
          <w:tcPr>
            <w:tcW w:w="0" w:type="auto"/>
            <w:noWrap/>
            <w:hideMark/>
          </w:tcPr>
          <w:p w:rsidR="009E3BAD" w:rsidRPr="00C05B7B" w:rsidRDefault="009E3BAD" w:rsidP="00237279"/>
        </w:tc>
      </w:tr>
    </w:tbl>
    <w:p w:rsidR="009E3BAD" w:rsidRPr="00091A6C" w:rsidRDefault="009E3BAD" w:rsidP="00091A6C"/>
    <w:sectPr w:rsidR="009E3BAD" w:rsidRPr="00091A6C" w:rsidSect="00091A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B0E6B"/>
    <w:multiLevelType w:val="hybridMultilevel"/>
    <w:tmpl w:val="8E60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879AE"/>
    <w:multiLevelType w:val="hybridMultilevel"/>
    <w:tmpl w:val="DBA0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36B23"/>
    <w:rsid w:val="00000EF7"/>
    <w:rsid w:val="00007A05"/>
    <w:rsid w:val="00036B23"/>
    <w:rsid w:val="00054210"/>
    <w:rsid w:val="000619D3"/>
    <w:rsid w:val="000627FA"/>
    <w:rsid w:val="00091A6C"/>
    <w:rsid w:val="000F3910"/>
    <w:rsid w:val="0010283B"/>
    <w:rsid w:val="00141920"/>
    <w:rsid w:val="001B3C8F"/>
    <w:rsid w:val="001E5DED"/>
    <w:rsid w:val="001E5F11"/>
    <w:rsid w:val="00246C8D"/>
    <w:rsid w:val="00292F5F"/>
    <w:rsid w:val="0029504A"/>
    <w:rsid w:val="002A22A7"/>
    <w:rsid w:val="002A741E"/>
    <w:rsid w:val="002D641D"/>
    <w:rsid w:val="002E0486"/>
    <w:rsid w:val="003249B5"/>
    <w:rsid w:val="00331D5A"/>
    <w:rsid w:val="00363F9F"/>
    <w:rsid w:val="00396947"/>
    <w:rsid w:val="003C3CEE"/>
    <w:rsid w:val="003C6456"/>
    <w:rsid w:val="003D077F"/>
    <w:rsid w:val="003D2221"/>
    <w:rsid w:val="004123F5"/>
    <w:rsid w:val="004860C7"/>
    <w:rsid w:val="00526089"/>
    <w:rsid w:val="00536AD4"/>
    <w:rsid w:val="00543D46"/>
    <w:rsid w:val="00556F35"/>
    <w:rsid w:val="0058543D"/>
    <w:rsid w:val="00586B20"/>
    <w:rsid w:val="005A5E47"/>
    <w:rsid w:val="005B0419"/>
    <w:rsid w:val="005E21D2"/>
    <w:rsid w:val="005F191D"/>
    <w:rsid w:val="00600DF5"/>
    <w:rsid w:val="0060346A"/>
    <w:rsid w:val="00607F78"/>
    <w:rsid w:val="006524F2"/>
    <w:rsid w:val="006C1751"/>
    <w:rsid w:val="006F5E12"/>
    <w:rsid w:val="006F67D0"/>
    <w:rsid w:val="007925EF"/>
    <w:rsid w:val="007A5729"/>
    <w:rsid w:val="008352FE"/>
    <w:rsid w:val="0089632C"/>
    <w:rsid w:val="008D11F8"/>
    <w:rsid w:val="009113B3"/>
    <w:rsid w:val="0098154C"/>
    <w:rsid w:val="009976A8"/>
    <w:rsid w:val="009E3BAD"/>
    <w:rsid w:val="00A409AB"/>
    <w:rsid w:val="00AC1F10"/>
    <w:rsid w:val="00AC2E1D"/>
    <w:rsid w:val="00AD06DA"/>
    <w:rsid w:val="00AF417E"/>
    <w:rsid w:val="00B27A50"/>
    <w:rsid w:val="00B445DA"/>
    <w:rsid w:val="00B72A66"/>
    <w:rsid w:val="00C129AB"/>
    <w:rsid w:val="00C16DDF"/>
    <w:rsid w:val="00C473F1"/>
    <w:rsid w:val="00C47CD5"/>
    <w:rsid w:val="00D14DC5"/>
    <w:rsid w:val="00D6021A"/>
    <w:rsid w:val="00DB3666"/>
    <w:rsid w:val="00DC7833"/>
    <w:rsid w:val="00DF0B91"/>
    <w:rsid w:val="00E022C9"/>
    <w:rsid w:val="00E403F5"/>
    <w:rsid w:val="00E42875"/>
    <w:rsid w:val="00E73E83"/>
    <w:rsid w:val="00E919E1"/>
    <w:rsid w:val="00ED1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47"/>
  </w:style>
  <w:style w:type="paragraph" w:styleId="Heading1">
    <w:name w:val="heading 1"/>
    <w:basedOn w:val="Normal"/>
    <w:next w:val="Normal"/>
    <w:link w:val="Heading1Char"/>
    <w:uiPriority w:val="9"/>
    <w:qFormat/>
    <w:rsid w:val="005A5E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E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4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4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4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4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4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4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4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E4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A5E47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A5E4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E4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4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4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4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4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4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4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4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E47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4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5E4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A5E47"/>
    <w:rPr>
      <w:b/>
      <w:color w:val="C0504D" w:themeColor="accent2"/>
    </w:rPr>
  </w:style>
  <w:style w:type="character" w:styleId="Emphasis">
    <w:name w:val="Emphasis"/>
    <w:uiPriority w:val="20"/>
    <w:qFormat/>
    <w:rsid w:val="005A5E4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A5E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E47"/>
  </w:style>
  <w:style w:type="paragraph" w:styleId="ListParagraph">
    <w:name w:val="List Paragraph"/>
    <w:basedOn w:val="Normal"/>
    <w:uiPriority w:val="34"/>
    <w:qFormat/>
    <w:rsid w:val="005A5E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5E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A5E4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4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4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A5E47"/>
    <w:rPr>
      <w:i/>
    </w:rPr>
  </w:style>
  <w:style w:type="character" w:styleId="IntenseEmphasis">
    <w:name w:val="Intense Emphasis"/>
    <w:uiPriority w:val="21"/>
    <w:qFormat/>
    <w:rsid w:val="005A5E4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A5E47"/>
    <w:rPr>
      <w:b/>
    </w:rPr>
  </w:style>
  <w:style w:type="character" w:styleId="IntenseReference">
    <w:name w:val="Intense Reference"/>
    <w:uiPriority w:val="32"/>
    <w:qFormat/>
    <w:rsid w:val="005A5E4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A5E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E47"/>
    <w:pPr>
      <w:outlineLvl w:val="9"/>
    </w:pPr>
    <w:rPr>
      <w:lang w:bidi="en-US"/>
    </w:rPr>
  </w:style>
  <w:style w:type="table" w:styleId="TableGrid">
    <w:name w:val="Table Grid"/>
    <w:basedOn w:val="TableNormal"/>
    <w:rsid w:val="0009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47"/>
  </w:style>
  <w:style w:type="paragraph" w:styleId="Heading1">
    <w:name w:val="heading 1"/>
    <w:basedOn w:val="Normal"/>
    <w:next w:val="Normal"/>
    <w:link w:val="Heading1Char"/>
    <w:uiPriority w:val="9"/>
    <w:qFormat/>
    <w:rsid w:val="005A5E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E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E4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E4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E4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E4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E4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E4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E4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E4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A5E47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A5E4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E4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E4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E4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E47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E47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E47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E47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E47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E47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E4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5E4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A5E47"/>
    <w:rPr>
      <w:b/>
      <w:color w:val="C0504D" w:themeColor="accent2"/>
    </w:rPr>
  </w:style>
  <w:style w:type="character" w:styleId="Emphasis">
    <w:name w:val="Emphasis"/>
    <w:uiPriority w:val="20"/>
    <w:qFormat/>
    <w:rsid w:val="005A5E4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A5E4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E47"/>
  </w:style>
  <w:style w:type="paragraph" w:styleId="ListParagraph">
    <w:name w:val="List Paragraph"/>
    <w:basedOn w:val="Normal"/>
    <w:uiPriority w:val="34"/>
    <w:qFormat/>
    <w:rsid w:val="005A5E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A5E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A5E4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E4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E47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5A5E47"/>
    <w:rPr>
      <w:i/>
    </w:rPr>
  </w:style>
  <w:style w:type="character" w:styleId="IntenseEmphasis">
    <w:name w:val="Intense Emphasis"/>
    <w:uiPriority w:val="21"/>
    <w:qFormat/>
    <w:rsid w:val="005A5E47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5A5E47"/>
    <w:rPr>
      <w:b/>
    </w:rPr>
  </w:style>
  <w:style w:type="character" w:styleId="IntenseReference">
    <w:name w:val="Intense Reference"/>
    <w:uiPriority w:val="32"/>
    <w:qFormat/>
    <w:rsid w:val="005A5E4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A5E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E47"/>
    <w:pPr>
      <w:outlineLvl w:val="9"/>
    </w:pPr>
    <w:rPr>
      <w:lang w:bidi="en-US"/>
    </w:rPr>
  </w:style>
  <w:style w:type="table" w:styleId="TableGrid">
    <w:name w:val="Table Grid"/>
    <w:basedOn w:val="TableNormal"/>
    <w:rsid w:val="0009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The Iron Marx</cp:lastModifiedBy>
  <cp:revision>56</cp:revision>
  <dcterms:created xsi:type="dcterms:W3CDTF">2013-02-01T19:00:00Z</dcterms:created>
  <dcterms:modified xsi:type="dcterms:W3CDTF">2013-02-16T02:46:00Z</dcterms:modified>
</cp:coreProperties>
</file>