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95"/>
      </w:tblGrid>
      <w:tr w:rsidR="00894C06" w14:paraId="233201BE" w14:textId="77777777" w:rsidTr="004A2A2B">
        <w:trPr>
          <w:trHeight w:val="5670"/>
        </w:trPr>
        <w:tc>
          <w:tcPr>
            <w:tcW w:w="8995" w:type="dxa"/>
          </w:tcPr>
          <w:p w14:paraId="24680296" w14:textId="77777777" w:rsidR="00C96323" w:rsidRDefault="00894C06" w:rsidP="00CB7B2A">
            <w:r>
              <w:t>A.</w:t>
            </w:r>
          </w:p>
          <w:p w14:paraId="7127E967" w14:textId="18E5011A" w:rsidR="00894C06" w:rsidRDefault="00894C06" w:rsidP="00CB7B2A">
            <w:r>
              <w:t xml:space="preserve"> </w:t>
            </w:r>
            <w:r w:rsidRPr="001846F9">
              <w:rPr>
                <w:noProof/>
              </w:rPr>
              <w:drawing>
                <wp:inline distT="0" distB="0" distL="0" distR="0" wp14:anchorId="4A78DBFB" wp14:editId="199BF863">
                  <wp:extent cx="3251200" cy="3241072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60307" cy="32501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94C06" w14:paraId="61B3C423" w14:textId="77777777" w:rsidTr="004A2A2B">
        <w:trPr>
          <w:trHeight w:val="3689"/>
        </w:trPr>
        <w:tc>
          <w:tcPr>
            <w:tcW w:w="8995" w:type="dxa"/>
          </w:tcPr>
          <w:p w14:paraId="204F2FAF" w14:textId="77777777" w:rsidR="00C96323" w:rsidRDefault="00894C06" w:rsidP="00CB7B2A">
            <w:r>
              <w:t>B.</w:t>
            </w:r>
            <w:r w:rsidRPr="001846F9">
              <w:t xml:space="preserve"> </w:t>
            </w:r>
          </w:p>
          <w:p w14:paraId="50798A19" w14:textId="58B48495" w:rsidR="00894C06" w:rsidRDefault="00894C06" w:rsidP="00CB7B2A">
            <w:r w:rsidRPr="001846F9">
              <w:rPr>
                <w:noProof/>
              </w:rPr>
              <w:drawing>
                <wp:inline distT="0" distB="0" distL="0" distR="0" wp14:anchorId="0F94BD64" wp14:editId="58326D7C">
                  <wp:extent cx="3318934" cy="3308627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28866" cy="33185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94C06" w14:paraId="4ADB6CB9" w14:textId="77777777" w:rsidTr="004A2A2B">
        <w:trPr>
          <w:trHeight w:val="5840"/>
        </w:trPr>
        <w:tc>
          <w:tcPr>
            <w:tcW w:w="8995" w:type="dxa"/>
          </w:tcPr>
          <w:p w14:paraId="2ECFCFA9" w14:textId="77777777" w:rsidR="00C96323" w:rsidRDefault="00894C06" w:rsidP="00CB7B2A">
            <w:r>
              <w:lastRenderedPageBreak/>
              <w:t>C.</w:t>
            </w:r>
          </w:p>
          <w:p w14:paraId="48785180" w14:textId="137FF467" w:rsidR="00894C06" w:rsidRDefault="00894C06" w:rsidP="00CB7B2A">
            <w:r>
              <w:rPr>
                <w:noProof/>
              </w:rPr>
              <w:t xml:space="preserve"> </w:t>
            </w:r>
            <w:r w:rsidRPr="00684DC9">
              <w:rPr>
                <w:noProof/>
              </w:rPr>
              <w:drawing>
                <wp:inline distT="0" distB="0" distL="0" distR="0" wp14:anchorId="219F04D1" wp14:editId="49BEDF32">
                  <wp:extent cx="3251200" cy="3271457"/>
                  <wp:effectExtent l="0" t="0" r="0" b="571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66113" cy="32864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94C06" w14:paraId="570C57C1" w14:textId="77777777" w:rsidTr="004A2A2B">
        <w:trPr>
          <w:trHeight w:val="63"/>
        </w:trPr>
        <w:tc>
          <w:tcPr>
            <w:tcW w:w="8995" w:type="dxa"/>
          </w:tcPr>
          <w:p w14:paraId="5EE6CB26" w14:textId="3534B8EB" w:rsidR="00894C06" w:rsidRDefault="00894C06" w:rsidP="00CB7B2A">
            <w:r>
              <w:t>Figure 1: Results of fitting models of different number of archetypes, using the first 20 PC’s (</w:t>
            </w:r>
            <w:r w:rsidR="005A25A0">
              <w:t xml:space="preserve">covering </w:t>
            </w:r>
            <w:r>
              <w:t xml:space="preserve">17% of the variance in original data). A. </w:t>
            </w:r>
            <w:r w:rsidR="007E7B75">
              <w:t>Proportion of v</w:t>
            </w:r>
            <w:r>
              <w:t xml:space="preserve">ariance explained. B. Proportion added to explained variance by </w:t>
            </w:r>
            <w:r w:rsidR="007E7B75">
              <w:t>adding another</w:t>
            </w:r>
            <w:r>
              <w:t xml:space="preserve"> archetype. C. Variance around archetype position based on bootstrap</w:t>
            </w:r>
            <w:r w:rsidR="007E7B75">
              <w:t>ping of original space</w:t>
            </w:r>
            <w:r w:rsidR="00C96323">
              <w:t>.</w:t>
            </w:r>
          </w:p>
        </w:tc>
      </w:tr>
    </w:tbl>
    <w:p w14:paraId="0F8F76FC" w14:textId="759DB905" w:rsidR="00C96323" w:rsidRDefault="00C96323"/>
    <w:p w14:paraId="3ECFDC11" w14:textId="473A5DB4" w:rsidR="002141F1" w:rsidRDefault="002141F1">
      <w:r>
        <w:br w:type="page"/>
      </w:r>
    </w:p>
    <w:p w14:paraId="2529A0F4" w14:textId="77777777" w:rsidR="002141F1" w:rsidRDefault="002141F1"/>
    <w:p w14:paraId="2F77558F" w14:textId="63CB90D4" w:rsidR="004367ED" w:rsidRDefault="004367ED" w:rsidP="00C96323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442"/>
      </w:tblGrid>
      <w:tr w:rsidR="002141F1" w14:paraId="51F3B31C" w14:textId="77777777" w:rsidTr="004A2A2B">
        <w:trPr>
          <w:trHeight w:val="7605"/>
        </w:trPr>
        <w:tc>
          <w:tcPr>
            <w:tcW w:w="7392" w:type="dxa"/>
          </w:tcPr>
          <w:p w14:paraId="125B41B0" w14:textId="09E3CA6A" w:rsidR="002141F1" w:rsidRDefault="002141F1">
            <w:r>
              <w:rPr>
                <w:noProof/>
              </w:rPr>
              <w:drawing>
                <wp:inline distT="0" distB="0" distL="0" distR="0" wp14:anchorId="02D8F8F6" wp14:editId="01889A44">
                  <wp:extent cx="4588933" cy="4588933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AD_pcaBoot_k3p20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91906" cy="45919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141F1" w14:paraId="4A65362A" w14:textId="77777777" w:rsidTr="004A2A2B">
        <w:trPr>
          <w:trHeight w:val="1610"/>
        </w:trPr>
        <w:tc>
          <w:tcPr>
            <w:tcW w:w="7392" w:type="dxa"/>
          </w:tcPr>
          <w:p w14:paraId="0D2B1F87" w14:textId="2A9E4A66" w:rsidR="002141F1" w:rsidRDefault="002141F1">
            <w:r>
              <w:t>Figure 2.</w:t>
            </w:r>
            <w:r>
              <w:t xml:space="preserve"> Archetype position in the original </w:t>
            </w:r>
            <w:r>
              <w:t xml:space="preserve">2-dimensional </w:t>
            </w:r>
            <w:r>
              <w:t>PC space based on the best fit polygon</w:t>
            </w:r>
            <w:r>
              <w:t xml:space="preserve">, a triangle. Green dots indicate archetype position in 200 bootstrapped spaces. Previously published classification of AD patients into subtypes A and B, </w:t>
            </w:r>
            <w:r>
              <w:t>based on k-means clustering</w:t>
            </w:r>
            <w:r>
              <w:t>, is represented by blue and red dots, respectively.</w:t>
            </w:r>
          </w:p>
        </w:tc>
      </w:tr>
    </w:tbl>
    <w:p w14:paraId="0DD45C4B" w14:textId="77777777" w:rsidR="004367ED" w:rsidRDefault="004367ED">
      <w: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65"/>
      </w:tblGrid>
      <w:tr w:rsidR="007C2DCB" w14:paraId="6295D8C1" w14:textId="77777777" w:rsidTr="004A2A2B">
        <w:trPr>
          <w:trHeight w:val="5660"/>
        </w:trPr>
        <w:tc>
          <w:tcPr>
            <w:tcW w:w="9265" w:type="dxa"/>
          </w:tcPr>
          <w:p w14:paraId="77C9B1D8" w14:textId="77777777" w:rsidR="007C2DCB" w:rsidRDefault="007C2DCB">
            <w:r>
              <w:lastRenderedPageBreak/>
              <w:t>A.</w:t>
            </w:r>
          </w:p>
          <w:p w14:paraId="4ACAD68E" w14:textId="3314F741" w:rsidR="007C2DCB" w:rsidRDefault="007C2DCB">
            <w:r>
              <w:rPr>
                <w:noProof/>
              </w:rPr>
              <w:drawing>
                <wp:inline distT="0" distB="0" distL="0" distR="0" wp14:anchorId="465E505B" wp14:editId="3EAAB9ED">
                  <wp:extent cx="4927600" cy="3519865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SexCogDx-1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89667" cy="35642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15D91" w14:paraId="6AA9DB83" w14:textId="77777777" w:rsidTr="004A2A2B">
        <w:trPr>
          <w:trHeight w:val="5885"/>
        </w:trPr>
        <w:tc>
          <w:tcPr>
            <w:tcW w:w="9265" w:type="dxa"/>
          </w:tcPr>
          <w:p w14:paraId="3F486644" w14:textId="77777777" w:rsidR="00D15D91" w:rsidRDefault="007C2DCB">
            <w:r>
              <w:t>B.</w:t>
            </w:r>
          </w:p>
          <w:p w14:paraId="02B8127C" w14:textId="36AB8813" w:rsidR="007C2DCB" w:rsidRDefault="007C2DCB">
            <w:r>
              <w:rPr>
                <w:noProof/>
              </w:rPr>
              <w:drawing>
                <wp:inline distT="0" distB="0" distL="0" distR="0" wp14:anchorId="6D90059C" wp14:editId="47EC853A">
                  <wp:extent cx="4930775" cy="3522133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SexBraak-1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48096" cy="35345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15D91" w14:paraId="56937FF7" w14:textId="77777777" w:rsidTr="004A2A2B">
        <w:trPr>
          <w:trHeight w:val="620"/>
        </w:trPr>
        <w:tc>
          <w:tcPr>
            <w:tcW w:w="9265" w:type="dxa"/>
          </w:tcPr>
          <w:p w14:paraId="115720D7" w14:textId="22F8E9D9" w:rsidR="00D15D91" w:rsidRDefault="00D15D91">
            <w:r>
              <w:t xml:space="preserve">Figure 3. </w:t>
            </w:r>
            <w:r w:rsidR="007C2DCB">
              <w:t>Association of cognitive score (A) and</w:t>
            </w:r>
            <w:r w:rsidR="005F521E">
              <w:t xml:space="preserve"> </w:t>
            </w:r>
            <w:proofErr w:type="spellStart"/>
            <w:r w:rsidR="005F521E">
              <w:t>Braak</w:t>
            </w:r>
            <w:proofErr w:type="spellEnd"/>
            <w:r w:rsidR="005F521E">
              <w:t xml:space="preserve"> score </w:t>
            </w:r>
            <w:r w:rsidR="007C2DCB">
              <w:t>(B) with</w:t>
            </w:r>
            <w:r w:rsidR="005F521E">
              <w:t xml:space="preserve"> sex across the archetypes. </w:t>
            </w:r>
            <w:r w:rsidR="005F521E">
              <w:t xml:space="preserve">Bar height is proportional </w:t>
            </w:r>
            <w:r w:rsidR="007C2DCB">
              <w:t>to</w:t>
            </w:r>
            <w:r w:rsidR="005F521E">
              <w:t xml:space="preserve"> deviation from expectation under the null hypothesis of equal representation (</w:t>
            </w:r>
            <w:proofErr w:type="spellStart"/>
            <w:r w:rsidR="005F521E">
              <w:t>i.e</w:t>
            </w:r>
            <w:proofErr w:type="spellEnd"/>
            <w:r w:rsidR="005F521E">
              <w:t>, no enrichment), tested using the chi2 statistic</w:t>
            </w:r>
            <w:r w:rsidR="00D17B5D">
              <w:t>. Disease progression proceeds from left to right for both scores.</w:t>
            </w:r>
          </w:p>
        </w:tc>
      </w:tr>
    </w:tbl>
    <w:p w14:paraId="26E56C4F" w14:textId="265B1B81" w:rsidR="008C5FD9" w:rsidRDefault="008C5FD9"/>
    <w:p w14:paraId="1A54129F" w14:textId="2FC2A3CA" w:rsidR="007846CA" w:rsidRDefault="007846CA" w:rsidP="008C5FD9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95"/>
      </w:tblGrid>
      <w:tr w:rsidR="008C5FD9" w14:paraId="2CB13EBD" w14:textId="77777777" w:rsidTr="004A2A2B">
        <w:trPr>
          <w:trHeight w:val="4654"/>
        </w:trPr>
        <w:tc>
          <w:tcPr>
            <w:tcW w:w="8995" w:type="dxa"/>
          </w:tcPr>
          <w:p w14:paraId="2B245A84" w14:textId="4D3FF347" w:rsidR="008C5FD9" w:rsidRDefault="008C5FD9">
            <w:r>
              <w:rPr>
                <w:noProof/>
              </w:rPr>
              <w:drawing>
                <wp:inline distT="0" distB="0" distL="0" distR="0" wp14:anchorId="2964DB0A" wp14:editId="119DC39D">
                  <wp:extent cx="5553710" cy="4245286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seudotime-1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53710" cy="42452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C5FD9" w14:paraId="4816FAFC" w14:textId="77777777" w:rsidTr="004A2A2B">
        <w:trPr>
          <w:trHeight w:val="359"/>
        </w:trPr>
        <w:tc>
          <w:tcPr>
            <w:tcW w:w="8995" w:type="dxa"/>
          </w:tcPr>
          <w:p w14:paraId="26C0A8C3" w14:textId="4CDE7714" w:rsidR="008C5FD9" w:rsidRDefault="008C5FD9">
            <w:r>
              <w:t xml:space="preserve">Figure 4. Association between </w:t>
            </w:r>
            <w:proofErr w:type="spellStart"/>
            <w:r>
              <w:t>pseudotime</w:t>
            </w:r>
            <w:proofErr w:type="spellEnd"/>
            <w:r>
              <w:t xml:space="preserve"> estimates and archetype classification.</w:t>
            </w:r>
          </w:p>
        </w:tc>
      </w:tr>
    </w:tbl>
    <w:p w14:paraId="7B9FE073" w14:textId="3B467BB9" w:rsidR="007E03A0" w:rsidRDefault="007E03A0"/>
    <w:p w14:paraId="542F7273" w14:textId="4D2DCF03" w:rsidR="007E03A0" w:rsidRDefault="007E03A0" w:rsidP="00B05EBD">
      <w:r>
        <w:br w:type="page"/>
      </w:r>
    </w:p>
    <w:p w14:paraId="0FBF351F" w14:textId="716B85EC" w:rsidR="007E03A0" w:rsidRDefault="007E03A0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7E03A0" w14:paraId="2BA75803" w14:textId="77777777" w:rsidTr="004A2A2B">
        <w:tc>
          <w:tcPr>
            <w:tcW w:w="9350" w:type="dxa"/>
          </w:tcPr>
          <w:p w14:paraId="185FBB76" w14:textId="31020312" w:rsidR="007E03A0" w:rsidRDefault="00B05EBD">
            <w:r>
              <w:rPr>
                <w:noProof/>
              </w:rPr>
              <w:drawing>
                <wp:inline distT="0" distB="0" distL="0" distR="0" wp14:anchorId="353CA0C2" wp14:editId="01843D8D">
                  <wp:extent cx="5943600" cy="157988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GOcloud_archetype_1.pd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579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E03A0" w14:paraId="6264333C" w14:textId="77777777" w:rsidTr="004A2A2B">
        <w:tc>
          <w:tcPr>
            <w:tcW w:w="9350" w:type="dxa"/>
          </w:tcPr>
          <w:p w14:paraId="4DE84321" w14:textId="73A95A01" w:rsidR="007E03A0" w:rsidRDefault="00B05EBD">
            <w:r>
              <w:rPr>
                <w:noProof/>
              </w:rPr>
              <w:drawing>
                <wp:inline distT="0" distB="0" distL="0" distR="0" wp14:anchorId="42EEC097" wp14:editId="586DE770">
                  <wp:extent cx="5943600" cy="1443990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GOcloud_archetype_2.pdf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4439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E03A0" w14:paraId="7A92FF61" w14:textId="77777777" w:rsidTr="004A2A2B">
        <w:trPr>
          <w:trHeight w:val="3014"/>
        </w:trPr>
        <w:tc>
          <w:tcPr>
            <w:tcW w:w="9350" w:type="dxa"/>
          </w:tcPr>
          <w:p w14:paraId="390E745E" w14:textId="35594910" w:rsidR="007E03A0" w:rsidRDefault="00B05EBD">
            <w:r>
              <w:rPr>
                <w:noProof/>
              </w:rPr>
              <w:drawing>
                <wp:inline distT="0" distB="0" distL="0" distR="0" wp14:anchorId="3D54BD3C" wp14:editId="659986F0">
                  <wp:extent cx="5943600" cy="1563370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GOcloud_archetype_3.pd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563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E03A0" w14:paraId="0E3047AA" w14:textId="77777777" w:rsidTr="004A2A2B">
        <w:tc>
          <w:tcPr>
            <w:tcW w:w="9350" w:type="dxa"/>
          </w:tcPr>
          <w:p w14:paraId="745C2625" w14:textId="7066AC1A" w:rsidR="007E03A0" w:rsidRDefault="00B05EBD">
            <w:r>
              <w:t xml:space="preserve">Figure 5. GO term enrichment for the top genes associated with each archetype. </w:t>
            </w:r>
          </w:p>
        </w:tc>
      </w:tr>
    </w:tbl>
    <w:p w14:paraId="4169F995" w14:textId="2A417B36" w:rsidR="00B05EBD" w:rsidRDefault="00B05EBD"/>
    <w:p w14:paraId="7A1C34DA" w14:textId="77777777" w:rsidR="00E059A9" w:rsidRDefault="00E059A9">
      <w: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E059A9" w14:paraId="41FCBE06" w14:textId="77777777" w:rsidTr="004A2A2B">
        <w:trPr>
          <w:trHeight w:val="6840"/>
        </w:trPr>
        <w:tc>
          <w:tcPr>
            <w:tcW w:w="9350" w:type="dxa"/>
          </w:tcPr>
          <w:p w14:paraId="2724988A" w14:textId="00BFFEB1" w:rsidR="00E059A9" w:rsidRDefault="00E059A9" w:rsidP="000C3BC7">
            <w:r>
              <w:rPr>
                <w:noProof/>
              </w:rPr>
              <w:lastRenderedPageBreak/>
              <w:drawing>
                <wp:inline distT="0" distB="0" distL="0" distR="0" wp14:anchorId="609A6E3E" wp14:editId="3FE07DAE">
                  <wp:extent cx="5855296" cy="4182533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unnamed-chunk-1-1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62089" cy="41873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059A9" w14:paraId="23A25B39" w14:textId="77777777" w:rsidTr="004A2A2B">
        <w:tc>
          <w:tcPr>
            <w:tcW w:w="9350" w:type="dxa"/>
          </w:tcPr>
          <w:p w14:paraId="1812C87E" w14:textId="1EE2D03C" w:rsidR="00E059A9" w:rsidRDefault="00E059A9" w:rsidP="000C3BC7">
            <w:r>
              <w:t xml:space="preserve">Figure </w:t>
            </w:r>
            <w:r>
              <w:t>6</w:t>
            </w:r>
            <w:r>
              <w:t xml:space="preserve">. Association of archetypes’ top gene sets with previously-published </w:t>
            </w:r>
            <w:r>
              <w:t>cell-specific marker of brain tissues</w:t>
            </w:r>
            <w:r>
              <w:t xml:space="preserve"> (REF###). Bar height is proportional to deviation from expectation under the null hypothesis of equal representation (</w:t>
            </w:r>
            <w:proofErr w:type="spellStart"/>
            <w:r>
              <w:t>i.e</w:t>
            </w:r>
            <w:proofErr w:type="spellEnd"/>
            <w:r>
              <w:t>, no enrichment), tested using the chi2 statistic.</w:t>
            </w:r>
          </w:p>
        </w:tc>
      </w:tr>
    </w:tbl>
    <w:p w14:paraId="2D20A34E" w14:textId="763C15C6" w:rsidR="00B05EBD" w:rsidRDefault="00B05EBD">
      <w: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B05EBD" w14:paraId="39A7A195" w14:textId="77777777" w:rsidTr="004A2A2B">
        <w:trPr>
          <w:trHeight w:val="6930"/>
        </w:trPr>
        <w:tc>
          <w:tcPr>
            <w:tcW w:w="9350" w:type="dxa"/>
          </w:tcPr>
          <w:p w14:paraId="5825B543" w14:textId="77777777" w:rsidR="00B05EBD" w:rsidRDefault="00B05EBD" w:rsidP="000C3BC7">
            <w:r>
              <w:rPr>
                <w:noProof/>
              </w:rPr>
              <w:lastRenderedPageBreak/>
              <w:drawing>
                <wp:inline distT="0" distB="0" distL="0" distR="0" wp14:anchorId="1E1A5BD8" wp14:editId="74422969">
                  <wp:extent cx="5833534" cy="4166989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modulesComp-2.pn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15477" cy="42255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05EBD" w14:paraId="5586593D" w14:textId="77777777" w:rsidTr="004A2A2B">
        <w:tc>
          <w:tcPr>
            <w:tcW w:w="9350" w:type="dxa"/>
          </w:tcPr>
          <w:p w14:paraId="6EEEAD96" w14:textId="17A2196C" w:rsidR="00B05EBD" w:rsidRDefault="00B05EBD" w:rsidP="000C3BC7">
            <w:r>
              <w:t xml:space="preserve">Figure </w:t>
            </w:r>
            <w:r w:rsidR="00E059A9">
              <w:t>7</w:t>
            </w:r>
            <w:r>
              <w:t xml:space="preserve">. </w:t>
            </w:r>
            <w:r>
              <w:t xml:space="preserve">Association of archetypes’ top gene sets with previously-published </w:t>
            </w:r>
            <w:r w:rsidR="00745C74">
              <w:t xml:space="preserve">gene expression </w:t>
            </w:r>
            <w:r>
              <w:t xml:space="preserve">submodules from the same cohort (REF###). </w:t>
            </w:r>
            <w:r>
              <w:t>Bar height is proportional to deviation from expectation under the null hypothesis of equal representation (</w:t>
            </w:r>
            <w:proofErr w:type="spellStart"/>
            <w:r>
              <w:t>i.e</w:t>
            </w:r>
            <w:proofErr w:type="spellEnd"/>
            <w:r>
              <w:t>, no enrichment), tested using the chi2 statistic</w:t>
            </w:r>
            <w:r>
              <w:t>.</w:t>
            </w:r>
          </w:p>
        </w:tc>
      </w:tr>
    </w:tbl>
    <w:p w14:paraId="4F41CC25" w14:textId="1ED193A1" w:rsidR="005B0C61" w:rsidRDefault="005B0C61"/>
    <w:p w14:paraId="69195184" w14:textId="77777777" w:rsidR="005B0C61" w:rsidRDefault="005B0C61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B0C61" w14:paraId="753FB4E5" w14:textId="77777777" w:rsidTr="000C3BC7">
        <w:trPr>
          <w:trHeight w:val="6650"/>
        </w:trPr>
        <w:tc>
          <w:tcPr>
            <w:tcW w:w="9350" w:type="dxa"/>
          </w:tcPr>
          <w:p w14:paraId="0B59207B" w14:textId="349A9A66" w:rsidR="005B0C61" w:rsidRDefault="007D4354" w:rsidP="000C3BC7">
            <w:r w:rsidRPr="007D4354">
              <w:lastRenderedPageBreak/>
              <w:drawing>
                <wp:inline distT="0" distB="0" distL="0" distR="0" wp14:anchorId="2A21FBDF" wp14:editId="0C1E0A46">
                  <wp:extent cx="5156200" cy="4597979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58786" cy="46002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B0C61" w14:paraId="62240D7E" w14:textId="77777777" w:rsidTr="000C3BC7">
        <w:tc>
          <w:tcPr>
            <w:tcW w:w="9350" w:type="dxa"/>
          </w:tcPr>
          <w:p w14:paraId="280BA775" w14:textId="087FBA68" w:rsidR="005B0C61" w:rsidRDefault="005B0C61" w:rsidP="000C3BC7">
            <w:r>
              <w:t xml:space="preserve">Figure </w:t>
            </w:r>
            <w:r>
              <w:t>8</w:t>
            </w:r>
            <w:r w:rsidR="00DB5A92">
              <w:t xml:space="preserve">. Network representation of GWAS results for different phenotypes illustrating overlap among phenotypes in their genetic architecture. Phenotypes include distance from each archetype, archetype assignment, previously-published cluster-based subtypes, CERAD and </w:t>
            </w:r>
            <w:proofErr w:type="spellStart"/>
            <w:r w:rsidR="00DB5A92">
              <w:t>Braak</w:t>
            </w:r>
            <w:proofErr w:type="spellEnd"/>
            <w:r w:rsidR="00DB5A92">
              <w:t xml:space="preserve"> scores, and cognitive diagnosis. Loci are represented as circles. Edges connect genetic loci to phenotypes.</w:t>
            </w:r>
          </w:p>
        </w:tc>
      </w:tr>
    </w:tbl>
    <w:p w14:paraId="357D311A" w14:textId="77777777" w:rsidR="008C5FD9" w:rsidRDefault="008C5FD9">
      <w:bookmarkStart w:id="0" w:name="_GoBack"/>
      <w:bookmarkEnd w:id="0"/>
    </w:p>
    <w:sectPr w:rsidR="008C5FD9" w:rsidSect="007734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58C"/>
    <w:rsid w:val="002141F1"/>
    <w:rsid w:val="002C3915"/>
    <w:rsid w:val="002E2649"/>
    <w:rsid w:val="00371EAD"/>
    <w:rsid w:val="004367ED"/>
    <w:rsid w:val="004A2A2B"/>
    <w:rsid w:val="005A25A0"/>
    <w:rsid w:val="005B0C61"/>
    <w:rsid w:val="005F521E"/>
    <w:rsid w:val="00652F96"/>
    <w:rsid w:val="00745C74"/>
    <w:rsid w:val="0077343C"/>
    <w:rsid w:val="007846CA"/>
    <w:rsid w:val="007C2DCB"/>
    <w:rsid w:val="007D4354"/>
    <w:rsid w:val="007E03A0"/>
    <w:rsid w:val="007E7B75"/>
    <w:rsid w:val="00894C06"/>
    <w:rsid w:val="008C5FD9"/>
    <w:rsid w:val="00992F03"/>
    <w:rsid w:val="00B05EBD"/>
    <w:rsid w:val="00C96323"/>
    <w:rsid w:val="00D15D91"/>
    <w:rsid w:val="00D17B5D"/>
    <w:rsid w:val="00DB5A92"/>
    <w:rsid w:val="00E059A9"/>
    <w:rsid w:val="00E14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7395E5"/>
  <w15:chartTrackingRefBased/>
  <w15:docId w15:val="{3D2D24AF-253B-5D49-874F-0284A2BAA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he-IL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94C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94C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emf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emf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emf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image" Target="media/image8.emf"/><Relationship Id="rId5" Type="http://schemas.openxmlformats.org/officeDocument/2006/relationships/image" Target="media/image2.emf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emf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9</Pages>
  <Words>328</Words>
  <Characters>1875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Annat Haber</dc:creator>
  <cp:keywords/>
  <dc:description/>
  <cp:lastModifiedBy>Annat Haber</cp:lastModifiedBy>
  <cp:revision>10</cp:revision>
  <dcterms:created xsi:type="dcterms:W3CDTF">2020-02-25T15:42:00Z</dcterms:created>
  <dcterms:modified xsi:type="dcterms:W3CDTF">2020-02-28T20:46:00Z</dcterms:modified>
</cp:coreProperties>
</file>