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6FF90" w14:textId="1E5580B0" w:rsidR="00FC6A8B" w:rsidRDefault="00FC6A8B" w:rsidP="002170C3">
      <w:pPr>
        <w:spacing w:after="120" w:line="360" w:lineRule="auto"/>
        <w:rPr>
          <w:rFonts w:cstheme="minorHAnsi"/>
          <w:bCs/>
        </w:rPr>
      </w:pPr>
      <w:r>
        <w:rPr>
          <w:rFonts w:cstheme="minorHAnsi"/>
          <w:bCs/>
        </w:rPr>
        <w:t>INTRODUCTION</w:t>
      </w:r>
    </w:p>
    <w:p w14:paraId="7DF1B673" w14:textId="43AC53C7" w:rsidR="002170C3" w:rsidRDefault="007446CE" w:rsidP="00A81FC9">
      <w:pPr>
        <w:spacing w:after="120" w:line="360" w:lineRule="auto"/>
        <w:rPr>
          <w:rFonts w:cstheme="minorHAnsi"/>
          <w:bCs/>
        </w:rPr>
      </w:pPr>
      <w:r>
        <w:rPr>
          <w:rFonts w:cstheme="minorHAnsi"/>
          <w:bCs/>
        </w:rPr>
        <w:t>Late-</w:t>
      </w:r>
      <w:r w:rsidR="006C20E0">
        <w:rPr>
          <w:rFonts w:cstheme="minorHAnsi"/>
          <w:bCs/>
        </w:rPr>
        <w:t>O</w:t>
      </w:r>
      <w:r>
        <w:rPr>
          <w:rFonts w:cstheme="minorHAnsi"/>
          <w:bCs/>
        </w:rPr>
        <w:t xml:space="preserve">nset Alzheimer’s Disease (LOAD) is </w:t>
      </w:r>
      <w:r w:rsidR="006C20E0">
        <w:rPr>
          <w:rFonts w:cstheme="minorHAnsi"/>
          <w:bCs/>
        </w:rPr>
        <w:t xml:space="preserve">the most common </w:t>
      </w:r>
      <w:r w:rsidR="00296FB6">
        <w:rPr>
          <w:rFonts w:cstheme="minorHAnsi"/>
          <w:bCs/>
        </w:rPr>
        <w:t xml:space="preserve">and detrimental </w:t>
      </w:r>
      <w:r w:rsidR="006C20E0">
        <w:rPr>
          <w:rFonts w:cstheme="minorHAnsi"/>
          <w:bCs/>
        </w:rPr>
        <w:t xml:space="preserve">cause of cognitive decline </w:t>
      </w:r>
      <w:r w:rsidR="00296FB6">
        <w:rPr>
          <w:rFonts w:cstheme="minorHAnsi"/>
          <w:bCs/>
        </w:rPr>
        <w:t>with age</w:t>
      </w:r>
      <w:r w:rsidR="006C20E0">
        <w:rPr>
          <w:rFonts w:cstheme="minorHAnsi"/>
          <w:bCs/>
        </w:rPr>
        <w:t xml:space="preserve">, inevitably leading to </w:t>
      </w:r>
      <w:r w:rsidR="003C53CE">
        <w:rPr>
          <w:rFonts w:cstheme="minorHAnsi"/>
          <w:bCs/>
        </w:rPr>
        <w:t>loss of independence</w:t>
      </w:r>
      <w:r w:rsidR="006C20E0">
        <w:rPr>
          <w:rFonts w:cstheme="minorHAnsi"/>
          <w:bCs/>
        </w:rPr>
        <w:t xml:space="preserve"> and premature death </w:t>
      </w:r>
      <w:r w:rsidR="002170C3">
        <w:rPr>
          <w:rStyle w:val="FootnoteReference"/>
          <w:rFonts w:cstheme="minorHAnsi"/>
          <w:bCs/>
        </w:rPr>
        <w:fldChar w:fldCharType="begin" w:fldLock="1"/>
      </w:r>
      <w:r w:rsidR="00FE4D97">
        <w:rPr>
          <w:rFonts w:cstheme="minorHAnsi"/>
          <w:bCs/>
        </w:rPr>
        <w:instrText>ADDIN CSL_CITATION {"citationItems":[{"id":"ITEM-1","itemData":{"DOI":"10.1101/cshperspect.a006239","ISSN":"21571422","PMID":"22908189","abstract":"The global prevalence of dementia has been estimated to be as high as 24 million, and is predicted to double every 20 years until at least 2040. As the population worldwide continues to age, the number of individuals at risk will also increase, particularly among the very old. Alzheimer disease is the leading cause of dementia beginning with impaired memory. The neuropathological hallmarks of Alzheimer disease include diffuse and neuritic extracellular amyloid plaques in brain that are frequently surrounded by dystrophic neurites and intraneuronal neurofibrillary tangles. The etiology of Alzheimer disease remains unclear, but it is likely to be the result of both genetic and environmental factors. In this review we discuss the prevalence and incidence rates, the established environmental risk factors, and the protective factors, and briefly review genetic variants predisposing to disease. © 2012 Cold Spring Harbor Laboratory Press all rights reserved.","author":[{"dropping-particle":"","family":"Mayeux","given":"Richard","non-dropping-particle":"","parse-names":false,"suffix":""},{"dropping-particle":"","family":"Stern","given":"Yaakov","non-dropping-particle":"","parse-names":false,"suffix":""}],"container-title":"Cold Spring Harbor Perspectives in Medicine","id":"ITEM-1","issue":"8","issued":{"date-parts":[["2012"]]},"publisher":"Cold Spring Harbor Laboratory Press","title":"Epidemiology of Alzheimer disease","type":"article-journal","volume":"2"},"uris":["http://www.mendeley.com/documents/?uuid=78c28947-aa9d-3fad-9a4c-be138feac63e"]}],"mendeley":{"formattedCitation":"[1]","plainTextFormattedCitation":"[1]","previouslyFormattedCitation":"[1]"},"properties":{"noteIndex":0},"schema":"https://github.com/citation-style-language/schema/raw/master/csl-citation.json"}</w:instrText>
      </w:r>
      <w:r w:rsidR="002170C3">
        <w:rPr>
          <w:rStyle w:val="FootnoteReference"/>
          <w:rFonts w:cstheme="minorHAnsi"/>
          <w:bCs/>
        </w:rPr>
        <w:fldChar w:fldCharType="separate"/>
      </w:r>
      <w:r w:rsidR="00FE4D97" w:rsidRPr="00FE4D97">
        <w:rPr>
          <w:rFonts w:cstheme="minorHAnsi"/>
          <w:noProof/>
        </w:rPr>
        <w:t>[1]</w:t>
      </w:r>
      <w:r w:rsidR="002170C3">
        <w:rPr>
          <w:rStyle w:val="FootnoteReference"/>
          <w:rFonts w:cstheme="minorHAnsi"/>
          <w:bCs/>
        </w:rPr>
        <w:fldChar w:fldCharType="end"/>
      </w:r>
      <w:r w:rsidR="00C737E1">
        <w:rPr>
          <w:rFonts w:cstheme="minorHAnsi"/>
          <w:bCs/>
        </w:rPr>
        <w:t xml:space="preserve">. </w:t>
      </w:r>
      <w:r w:rsidR="00914429">
        <w:rPr>
          <w:rFonts w:cstheme="minorHAnsi"/>
          <w:bCs/>
        </w:rPr>
        <w:t>As with other complex disease</w:t>
      </w:r>
      <w:r w:rsidR="008605A8">
        <w:rPr>
          <w:rFonts w:cstheme="minorHAnsi"/>
          <w:bCs/>
        </w:rPr>
        <w:t>s</w:t>
      </w:r>
      <w:r w:rsidR="00914429">
        <w:rPr>
          <w:rFonts w:cstheme="minorHAnsi"/>
          <w:bCs/>
        </w:rPr>
        <w:t xml:space="preserve">, the susceptibility and </w:t>
      </w:r>
      <w:r w:rsidR="00456EA9">
        <w:rPr>
          <w:rFonts w:cstheme="minorHAnsi"/>
          <w:bCs/>
        </w:rPr>
        <w:t>progression</w:t>
      </w:r>
      <w:r w:rsidR="00914429">
        <w:rPr>
          <w:rFonts w:cstheme="minorHAnsi"/>
          <w:bCs/>
        </w:rPr>
        <w:t xml:space="preserve"> of LOAD are affected by a myriad of genetic and environmental factors and interactions, resulting in a heterogenous presentation</w:t>
      </w:r>
      <w:r w:rsidR="008605A8">
        <w:rPr>
          <w:rFonts w:cstheme="minorHAnsi"/>
          <w:bCs/>
        </w:rPr>
        <w:t xml:space="preserve"> and outcome </w:t>
      </w:r>
      <w:r w:rsidR="002170C3">
        <w:rPr>
          <w:rStyle w:val="FootnoteReference"/>
          <w:rFonts w:cstheme="minorHAnsi"/>
          <w:bCs/>
        </w:rPr>
        <w:fldChar w:fldCharType="begin" w:fldLock="1"/>
      </w:r>
      <w:r w:rsidR="00FE4D97">
        <w:rPr>
          <w:rFonts w:cstheme="minorHAnsi"/>
          <w:bCs/>
        </w:rPr>
        <w:instrText>ADDIN CSL_CITATION {"citationItems":[{"id":"ITEM-1","itemData":{"DOI":"10.1111/tan.13170","ISSN":"20592310","abstract":"Genetic studies in complex diseases have been highly successful, but have also been largely one-dimensional: predominantly focusing on the genetic contribution to disease susceptibility. While this is undoubtedly important—indeed it is a pre-requisite for understanding the mechanisms underlying disease development—there are many other important aspects of disease biology that have received comparatively little attention. In this review, I will discuss how existing genetic data can be leveraged to provide new insights into other aspects of disease biology, why such insights could change the way we think about complex disease, and how this could provide opportunities for better therapies and/or facilitate personalised medicine. To do this, I will use the example of Crohn's disease—a chronic form of inflammatory bowel disease that has been one of the main success stories in complex disease genetics. Indeed, thanks to genetic studies, we now have a much more detailed understanding of the processes involved in Crohn's disease development, but still know relatively little about what determines the subsequent disease course (prognosis) and why this differs so considerably between individuals. I will discuss how we came to realise that genetic variation plays an important role in determining disease prognosis and how this has changed the way we think about Crohn's disease genetics. This will illustrate how phenotypic data can be used to leverage new insights from genetic data and will provide a broadly applicable framework that could yield new insights into the biology of multiple diseases.","author":[{"dropping-particle":"","family":"Lee","given":"J. C.","non-dropping-particle":"","parse-names":false,"suffix":""}],"container-title":"HLA","id":"ITEM-1","issue":"6","issued":{"date-parts":[["2017","12","1"]]},"page":"329-334","publisher":"Blackwell Publishing Ltd","title":"Beyond disease susceptibility—Leveraging genome-wide association studies for new insights into complex disease biology","type":"article","volume":"90"},"uris":["http://www.mendeley.com/documents/?uuid=edab4ed9-6241-3482-b0bb-cb2caaffcd1a"]},{"id":"ITEM-2","itemData":{"DOI":"10.1038/s41588-018-0311-9","ISSN":"15461718","PMID":"30617256","abstract":"Alzheimer’s disease (AD) is highly heritable and recent studies have identified over 20 disease-associated genomic loci. Yet these only explain a small proportion of the genetic variance, indicating that undiscovered loci remain. Here, we performed a large genome-wide association study of clinically diagnosed AD and AD-by-proxy (71,880 cases, 383,378 controls). AD-by-proxy, based on parental diagnoses, showed strong genetic correlation with AD (r g = 0.81). Meta-analysis identified 29 risk loci, implicating 215 potential causative genes. Associated genes are strongly expressed in immune-related tissues and cell types (spleen, liver, and microglia). Gene-set analyses indicate biological mechanisms involved in lipid-related processes and degradation of amyloid precursor proteins. We show strong genetic correlations with multiple health-related outcomes, and Mendelian randomization results suggest a protective effect of cognitive ability on AD risk. These results are a step forward in identifying the genetic factors that contribute to AD risk and add novel insights into the neurobiology of AD.","author":[{"dropping-particle":"","family":"Jansen","given":"Iris E.","non-dropping-particle":"","parse-names":false,"suffix":""},{"dropping-particle":"","family":"Savage","given":"Jeanne E.","non-dropping-particle":"","parse-names":false,"suffix":""},{"dropping-particle":"","family":"Watanabe","given":"Kyoko","non-dropping-particle":"","parse-names":false,"suffix":""},{"dropping-particle":"","family":"Bryois","given":"Julien","non-dropping-particle":"","parse-names":false,"suffix":""},{"dropping-particle":"","family":"Williams","given":"Dylan M.","non-dropping-particle":"","parse-names":false,"suffix":""},{"dropping-particle":"","family":"Steinberg","given":"Stacy","non-dropping-particle":"","parse-names":false,"suffix":""},{"dropping-particle":"","family":"Sealock","given":"Julia","non-dropping-particle":"","parse-names":false,"suffix":""},{"dropping-particle":"","family":"Karlsson","given":"Ida K.","non-dropping-particle":"","parse-names":false,"suffix":""},{"dropping-particle":"","family":"Hägg","given":"Sara","non-dropping-particle":"","parse-names":false,"suffix":""},{"dropping-particle":"","family":"Athanasiu","given":"Lavinia","non-dropping-particle":"","parse-names":false,"suffix":""},{"dropping-particle":"","family":"Voyle","given":"Nicola","non-dropping-particle":"","parse-names":false,"suffix":""},{"dropping-particle":"","family":"Proitsi","given":"Petroula","non-dropping-particle":"","parse-names":false,"suffix":""},{"dropping-particle":"","family":"Witoelar","given":"Aree","non-dropping-particle":"","parse-names":false,"suffix":""},{"dropping-particle":"","family":"Stringer","given":"Sven","non-dropping-particle":"","parse-names":false,"suffix":""},{"dropping-particle":"","family":"Aarsland","given":"Dag","non-dropping-particle":"","parse-names":false,"suffix":""},{"dropping-particle":"","family":"Almdahl","given":"Ina S.","non-dropping-particle":"","parse-names":false,"suffix":""},{"dropping-particle":"","family":"Andersen","given":"Fred","non-dropping-particle":"","parse-names":false,"suffix":""},{"dropping-particle":"","family":"Bergh","given":"Sverre","non-dropping-particle":"","parse-names":false,"suffix":""},{"dropping-particle":"","family":"Bettella","given":"Francesco","non-dropping-particle":"","parse-names":false,"suffix":""},{"dropping-particle":"","family":"Bjornsson","given":"Sigurbjorn","non-dropping-particle":"","parse-names":false,"suffix":""},{"dropping-particle":"","family":"Brækhus","given":"Anne","non-dropping-particle":"","parse-names":false,"suffix":""},{"dropping-particle":"","family":"Bråthen","given":"Geir","non-dropping-particle":"","parse-names":false,"suffix":""},{"dropping-particle":"","family":"Leeuw","given":"Christiaan","non-dropping-particle":"de","parse-names":false,"suffix":""},{"dropping-particle":"","family":"Desikan","given":"Rahul S.","non-dropping-particle":"","parse-names":false,"suffix":""},{"dropping-particle":"","family":"Djurovic","given":"Srdjan","non-dropping-particle":"","parse-names":false,"suffix":""},{"dropping-particle":"","family":"Dumitrescu","given":"Logan","non-dropping-particle":"","parse-names":false,"suffix":""},{"dropping-particle":"","family":"Fladby","given":"Tormod","non-dropping-particle":"","parse-names":false,"suffix":""},{"dropping-particle":"","family":"Hohman","given":"Timothy J.","non-dropping-particle":"","parse-names":false,"suffix":""},{"dropping-particle":"V.","family":"Jonsson","given":"Palmi","non-dropping-particle":"","parse-names":false,"suffix":""},{"dropping-particle":"","family":"Kiddle","given":"Steven J.","non-dropping-particle":"","parse-names":false,"suffix":""},{"dropping-particle":"","family":"Rongve","given":"Arvid","non-dropping-particle":"","parse-names":false,"suffix":""},{"dropping-particle":"","family":"Saltvedt","given":"Ingvild","non-dropping-particle":"","parse-names":false,"suffix":""},{"dropping-particle":"","family":"Sando","given":"Sigrid B.","non-dropping-particle":"","parse-names":false,"suffix":""},{"dropping-particle":"","family":"Selbæk","given":"Geir","non-dropping-particle":"","parse-names":false,"suffix":""},{"dropping-particle":"","family":"Shoai","given":"Maryam","non-dropping-particle":"","parse-names":false,"suffix":""},{"dropping-particle":"","family":"Skene","given":"Nathan G.","non-dropping-particle":"","parse-names":false,"suffix":""},{"dropping-particle":"","family":"Snaedal","given":"Jon","non-dropping-particle":"","parse-names":false,"suffix":""},{"dropping-particle":"","family":"Stordal","given":"Eystein","non-dropping-particle":"","parse-names":false,"suffix":""},{"dropping-particle":"","family":"Ulstein","given":"Ingun D.","non-dropping-particle":"","parse-names":false,"suffix":""},{"dropping-particle":"","family":"Wang","given":"Yunpeng","non-dropping-particle":"","parse-names":false,"suffix":""},{"dropping-particle":"","family":"White","given":"Linda R.","non-dropping-particle":"","parse-names":false,"suffix":""},{"dropping-particle":"","family":"Hardy","given":"John","non-dropping-particle":"","parse-names":false,"suffix":""},{"dropping-particle":"","family":"Hjerling-Leffler","given":"Jens","non-dropping-particle":"","parse-names":false,"suffix":""},{"dropping-particle":"","family":"Sullivan","given":"Patrick F.","non-dropping-particle":"","parse-names":false,"suffix":""},{"dropping-particle":"","family":"Flier","given":"Wiesje M.","non-dropping-particle":"van der","parse-names":false,"suffix":""},{"dropping-particle":"","family":"Dobson","given":"Richard","non-dropping-particle":"","parse-names":false,"suffix":""},{"dropping-particle":"","family":"Davis","given":"Lea K.","non-dropping-particle":"","parse-names":false,"suffix":""},{"dropping-particle":"","family":"Stefansson","given":"Hreinn","non-dropping-particle":"","parse-names":false,"suffix":""},{"dropping-particle":"","family":"Stefansson","given":"Kari","non-dropping-particle":"","parse-names":false,"suffix":""},{"dropping-particle":"","family":"Pedersen","given":"Nancy L.","non-dropping-particle":"","parse-names":false,"suffix":""},{"dropping-particle":"","family":"Ripke","given":"Stephan","non-dropping-particle":"","parse-names":false,"suffix":""},{"dropping-particle":"","family":"Andreassen","given":"Ole A.","non-dropping-particle":"","parse-names":false,"suffix":""},{"dropping-particle":"","family":"Posthuma","given":"Danielle","non-dropping-particle":"","parse-names":false,"suffix":""}],"container-title":"Nature Genetics","id":"ITEM-2","issue":"3","issued":{"date-parts":[["2019","3","1"]]},"page":"404-413","publisher":"Nature Publishing Group","title":"Genome-wide meta-analysis identifies new loci and functional pathways influencing Alzheimer’s disease risk","type":"article-journal","volume":"51"},"uris":["http://www.mendeley.com/documents/?uuid=b8b8832e-5fb9-3102-8e7d-1f0034ce686b"]},{"id":"ITEM-3","itemData":{"DOI":"10.1016/j.tig.2018.02.007","ISSN":"13624555","abstract":"Over 25 genes are known to affect the risk of developing Alzheimer disease (AD), the most common neurodegenerative dementia. However, mechanistic insights and improved disease management remains limited, due to difficulties in determining the functional consequences of genetic associations. Transcriptomics is increasingly being used to corroborate or enhance interpretation of genetic discoveries. These approaches, which include second and third generation sequencing, single-cell sequencing, and bioinformatics, reveal allele-specific events connecting AD risk genes to expression profiles, and provide converging evidence of pathophysiological pathways underlying AD. Simultaneously, they highlight brain region- and cell-type-specific expression patterns, and alternative splicing events that affect the straightforward relation between a genetic variant and AD, re-emphasizing the need for an integrated approach of genetics and transcriptomics in understanding AD.","author":[{"dropping-particle":"","family":"Verheijen","given":"Jan","non-dropping-particle":"","parse-names":false,"suffix":""},{"dropping-particle":"","family":"Sleegers","given":"Kristel","non-dropping-particle":"","parse-names":false,"suffix":""}],"container-title":"Trends in Genetics","id":"ITEM-3","issue":"6","issued":{"date-parts":[["2018","6","1"]]},"page":"434-447","publisher":"Elsevier Ltd","title":"Understanding Alzheimer Disease at the Interface between Genetics and Transcriptomics","type":"article","volume":"34"},"uris":["http://www.mendeley.com/documents/?uuid=fd3ce43d-d083-308b-a659-7a4a9173bc03"]}],"mendeley":{"formattedCitation":"[2]–[4]","plainTextFormattedCitation":"[2]–[4]","previouslyFormattedCitation":"[2]–[4]"},"properties":{"noteIndex":0},"schema":"https://github.com/citation-style-language/schema/raw/master/csl-citation.json"}</w:instrText>
      </w:r>
      <w:r w:rsidR="002170C3">
        <w:rPr>
          <w:rStyle w:val="FootnoteReference"/>
          <w:rFonts w:cstheme="minorHAnsi"/>
          <w:bCs/>
        </w:rPr>
        <w:fldChar w:fldCharType="separate"/>
      </w:r>
      <w:r w:rsidR="00FE4D97" w:rsidRPr="00FE4D97">
        <w:rPr>
          <w:rFonts w:cstheme="minorHAnsi"/>
          <w:noProof/>
        </w:rPr>
        <w:t>[2]–[4]</w:t>
      </w:r>
      <w:r w:rsidR="002170C3">
        <w:rPr>
          <w:rStyle w:val="FootnoteReference"/>
          <w:rFonts w:cstheme="minorHAnsi"/>
          <w:bCs/>
        </w:rPr>
        <w:fldChar w:fldCharType="end"/>
      </w:r>
      <w:r w:rsidR="00914429">
        <w:rPr>
          <w:rFonts w:cstheme="minorHAnsi"/>
          <w:bCs/>
        </w:rPr>
        <w:t>.</w:t>
      </w:r>
      <w:r w:rsidR="002170C3">
        <w:rPr>
          <w:rFonts w:cstheme="minorHAnsi"/>
          <w:bCs/>
        </w:rPr>
        <w:t xml:space="preserve"> </w:t>
      </w:r>
      <w:r w:rsidR="00A977AE">
        <w:rPr>
          <w:rFonts w:cstheme="minorHAnsi"/>
          <w:bCs/>
        </w:rPr>
        <w:t>Therefore</w:t>
      </w:r>
      <w:r>
        <w:rPr>
          <w:rFonts w:cstheme="minorHAnsi"/>
          <w:bCs/>
        </w:rPr>
        <w:t>, a</w:t>
      </w:r>
      <w:r w:rsidR="00AF7C50">
        <w:rPr>
          <w:rFonts w:cstheme="minorHAnsi"/>
          <w:bCs/>
        </w:rPr>
        <w:t>lthough LOAD</w:t>
      </w:r>
      <w:r w:rsidR="00FE225B">
        <w:rPr>
          <w:rFonts w:cstheme="minorHAnsi"/>
          <w:bCs/>
        </w:rPr>
        <w:t xml:space="preserve">’s </w:t>
      </w:r>
      <w:r>
        <w:rPr>
          <w:rFonts w:cstheme="minorHAnsi"/>
          <w:bCs/>
        </w:rPr>
        <w:t xml:space="preserve">heritability </w:t>
      </w:r>
      <w:r w:rsidR="00FE225B">
        <w:rPr>
          <w:rFonts w:cstheme="minorHAnsi"/>
          <w:bCs/>
        </w:rPr>
        <w:t>can be as high as</w:t>
      </w:r>
      <w:r>
        <w:rPr>
          <w:rFonts w:cstheme="minorHAnsi"/>
          <w:bCs/>
        </w:rPr>
        <w:t xml:space="preserve"> 80%</w:t>
      </w:r>
      <w:r w:rsidR="008F65A2">
        <w:rPr>
          <w:rFonts w:cstheme="minorHAnsi"/>
          <w:bCs/>
        </w:rPr>
        <w:t xml:space="preserve"> </w:t>
      </w:r>
      <w:r w:rsidR="002170C3">
        <w:rPr>
          <w:rStyle w:val="FootnoteReference"/>
          <w:rFonts w:cstheme="minorHAnsi"/>
          <w:bCs/>
        </w:rPr>
        <w:fldChar w:fldCharType="begin" w:fldLock="1"/>
      </w:r>
      <w:r w:rsidR="00FE4D97">
        <w:rPr>
          <w:rFonts w:cstheme="minorHAnsi"/>
          <w:bCs/>
        </w:rPr>
        <w:instrText>ADDIN CSL_CITATION {"citationItems":[{"id":"ITEM-1","itemData":{"DOI":"10.1038/s41588-018-0311-9","ISSN":"15461718","PMID":"30617256","abstract":"Alzheimer’s disease (AD) is highly heritable and recent studies have identified over 20 disease-associated genomic loci. Yet these only explain a small proportion of the genetic variance, indicating that undiscovered loci remain. Here, we performed a large genome-wide association study of clinically diagnosed AD and AD-by-proxy (71,880 cases, 383,378 controls). AD-by-proxy, based on parental diagnoses, showed strong genetic correlation with AD (r g = 0.81). Meta-analysis identified 29 risk loci, implicating 215 potential causative genes. Associated genes are strongly expressed in immune-related tissues and cell types (spleen, liver, and microglia). Gene-set analyses indicate biological mechanisms involved in lipid-related processes and degradation of amyloid precursor proteins. We show strong genetic correlations with multiple health-related outcomes, and Mendelian randomization results suggest a protective effect of cognitive ability on AD risk. These results are a step forward in identifying the genetic factors that contribute to AD risk and add novel insights into the neurobiology of AD.","author":[{"dropping-particle":"","family":"Jansen","given":"Iris E.","non-dropping-particle":"","parse-names":false,"suffix":""},{"dropping-particle":"","family":"Savage","given":"Jeanne E.","non-dropping-particle":"","parse-names":false,"suffix":""},{"dropping-particle":"","family":"Watanabe","given":"Kyoko","non-dropping-particle":"","parse-names":false,"suffix":""},{"dropping-particle":"","family":"Bryois","given":"Julien","non-dropping-particle":"","parse-names":false,"suffix":""},{"dropping-particle":"","family":"Williams","given":"Dylan M.","non-dropping-particle":"","parse-names":false,"suffix":""},{"dropping-particle":"","family":"Steinberg","given":"Stacy","non-dropping-particle":"","parse-names":false,"suffix":""},{"dropping-particle":"","family":"Sealock","given":"Julia","non-dropping-particle":"","parse-names":false,"suffix":""},{"dropping-particle":"","family":"Karlsson","given":"Ida K.","non-dropping-particle":"","parse-names":false,"suffix":""},{"dropping-particle":"","family":"Hägg","given":"Sara","non-dropping-particle":"","parse-names":false,"suffix":""},{"dropping-particle":"","family":"Athanasiu","given":"Lavinia","non-dropping-particle":"","parse-names":false,"suffix":""},{"dropping-particle":"","family":"Voyle","given":"Nicola","non-dropping-particle":"","parse-names":false,"suffix":""},{"dropping-particle":"","family":"Proitsi","given":"Petroula","non-dropping-particle":"","parse-names":false,"suffix":""},{"dropping-particle":"","family":"Witoelar","given":"Aree","non-dropping-particle":"","parse-names":false,"suffix":""},{"dropping-particle":"","family":"Stringer","given":"Sven","non-dropping-particle":"","parse-names":false,"suffix":""},{"dropping-particle":"","family":"Aarsland","given":"Dag","non-dropping-particle":"","parse-names":false,"suffix":""},{"dropping-particle":"","family":"Almdahl","given":"Ina S.","non-dropping-particle":"","parse-names":false,"suffix":""},{"dropping-particle":"","family":"Andersen","given":"Fred","non-dropping-particle":"","parse-names":false,"suffix":""},{"dropping-particle":"","family":"Bergh","given":"Sverre","non-dropping-particle":"","parse-names":false,"suffix":""},{"dropping-particle":"","family":"Bettella","given":"Francesco","non-dropping-particle":"","parse-names":false,"suffix":""},{"dropping-particle":"","family":"Bjornsson","given":"Sigurbjorn","non-dropping-particle":"","parse-names":false,"suffix":""},{"dropping-particle":"","family":"Brækhus","given":"Anne","non-dropping-particle":"","parse-names":false,"suffix":""},{"dropping-particle":"","family":"Bråthen","given":"Geir","non-dropping-particle":"","parse-names":false,"suffix":""},{"dropping-particle":"","family":"Leeuw","given":"Christiaan","non-dropping-particle":"de","parse-names":false,"suffix":""},{"dropping-particle":"","family":"Desikan","given":"Rahul S.","non-dropping-particle":"","parse-names":false,"suffix":""},{"dropping-particle":"","family":"Djurovic","given":"Srdjan","non-dropping-particle":"","parse-names":false,"suffix":""},{"dropping-particle":"","family":"Dumitrescu","given":"Logan","non-dropping-particle":"","parse-names":false,"suffix":""},{"dropping-particle":"","family":"Fladby","given":"Tormod","non-dropping-particle":"","parse-names":false,"suffix":""},{"dropping-particle":"","family":"Hohman","given":"Timothy J.","non-dropping-particle":"","parse-names":false,"suffix":""},{"dropping-particle":"V.","family":"Jonsson","given":"Palmi","non-dropping-particle":"","parse-names":false,"suffix":""},{"dropping-particle":"","family":"Kiddle","given":"Steven J.","non-dropping-particle":"","parse-names":false,"suffix":""},{"dropping-particle":"","family":"Rongve","given":"Arvid","non-dropping-particle":"","parse-names":false,"suffix":""},{"dropping-particle":"","family":"Saltvedt","given":"Ingvild","non-dropping-particle":"","parse-names":false,"suffix":""},{"dropping-particle":"","family":"Sando","given":"Sigrid B.","non-dropping-particle":"","parse-names":false,"suffix":""},{"dropping-particle":"","family":"Selbæk","given":"Geir","non-dropping-particle":"","parse-names":false,"suffix":""},{"dropping-particle":"","family":"Shoai","given":"Maryam","non-dropping-particle":"","parse-names":false,"suffix":""},{"dropping-particle":"","family":"Skene","given":"Nathan G.","non-dropping-particle":"","parse-names":false,"suffix":""},{"dropping-particle":"","family":"Snaedal","given":"Jon","non-dropping-particle":"","parse-names":false,"suffix":""},{"dropping-particle":"","family":"Stordal","given":"Eystein","non-dropping-particle":"","parse-names":false,"suffix":""},{"dropping-particle":"","family":"Ulstein","given":"Ingun D.","non-dropping-particle":"","parse-names":false,"suffix":""},{"dropping-particle":"","family":"Wang","given":"Yunpeng","non-dropping-particle":"","parse-names":false,"suffix":""},{"dropping-particle":"","family":"White","given":"Linda R.","non-dropping-particle":"","parse-names":false,"suffix":""},{"dropping-particle":"","family":"Hardy","given":"John","non-dropping-particle":"","parse-names":false,"suffix":""},{"dropping-particle":"","family":"Hjerling-Leffler","given":"Jens","non-dropping-particle":"","parse-names":false,"suffix":""},{"dropping-particle":"","family":"Sullivan","given":"Patrick F.","non-dropping-particle":"","parse-names":false,"suffix":""},{"dropping-particle":"","family":"Flier","given":"Wiesje M.","non-dropping-particle":"van der","parse-names":false,"suffix":""},{"dropping-particle":"","family":"Dobson","given":"Richard","non-dropping-particle":"","parse-names":false,"suffix":""},{"dropping-particle":"","family":"Davis","given":"Lea K.","non-dropping-particle":"","parse-names":false,"suffix":""},{"dropping-particle":"","family":"Stefansson","given":"Hreinn","non-dropping-particle":"","parse-names":false,"suffix":""},{"dropping-particle":"","family":"Stefansson","given":"Kari","non-dropping-particle":"","parse-names":false,"suffix":""},{"dropping-particle":"","family":"Pedersen","given":"Nancy L.","non-dropping-particle":"","parse-names":false,"suffix":""},{"dropping-particle":"","family":"Ripke","given":"Stephan","non-dropping-particle":"","parse-names":false,"suffix":""},{"dropping-particle":"","family":"Andreassen","given":"Ole A.","non-dropping-particle":"","parse-names":false,"suffix":""},{"dropping-particle":"","family":"Posthuma","given":"Danielle","non-dropping-particle":"","parse-names":false,"suffix":""}],"container-title":"Nature Genetics","id":"ITEM-1","issue":"3","issued":{"date-parts":[["2019","3","1"]]},"page":"404-413","publisher":"Nature Publishing Group","title":"Genome-wide meta-analysis identifies new loci and functional pathways influencing Alzheimer’s disease risk","type":"article-journal","volume":"51"},"uris":["http://www.mendeley.com/documents/?uuid=b8b8832e-5fb9-3102-8e7d-1f0034ce686b"]}],"mendeley":{"formattedCitation":"[3]","plainTextFormattedCitation":"[3]","previouslyFormattedCitation":"[3]"},"properties":{"noteIndex":0},"schema":"https://github.com/citation-style-language/schema/raw/master/csl-citation.json"}</w:instrText>
      </w:r>
      <w:r w:rsidR="002170C3">
        <w:rPr>
          <w:rStyle w:val="FootnoteReference"/>
          <w:rFonts w:cstheme="minorHAnsi"/>
          <w:bCs/>
        </w:rPr>
        <w:fldChar w:fldCharType="separate"/>
      </w:r>
      <w:r w:rsidR="00FE4D97" w:rsidRPr="00FE4D97">
        <w:rPr>
          <w:rFonts w:cstheme="minorHAnsi"/>
          <w:bCs/>
          <w:noProof/>
        </w:rPr>
        <w:t>[3]</w:t>
      </w:r>
      <w:r w:rsidR="002170C3">
        <w:rPr>
          <w:rStyle w:val="FootnoteReference"/>
          <w:rFonts w:cstheme="minorHAnsi"/>
          <w:bCs/>
        </w:rPr>
        <w:fldChar w:fldCharType="end"/>
      </w:r>
      <w:r>
        <w:rPr>
          <w:rFonts w:cstheme="minorHAnsi"/>
          <w:bCs/>
        </w:rPr>
        <w:t xml:space="preserve">, it has been challenging to identify genetic risk variants and therapeutic targets </w:t>
      </w:r>
      <w:r w:rsidR="008605A8">
        <w:rPr>
          <w:rFonts w:cstheme="minorHAnsi"/>
          <w:bCs/>
        </w:rPr>
        <w:t xml:space="preserve">using </w:t>
      </w:r>
      <w:r w:rsidR="003C53CE">
        <w:rPr>
          <w:rFonts w:cstheme="minorHAnsi"/>
          <w:bCs/>
        </w:rPr>
        <w:t>genome-wide associations</w:t>
      </w:r>
      <w:r w:rsidR="008605A8">
        <w:rPr>
          <w:rFonts w:cstheme="minorHAnsi"/>
          <w:bCs/>
        </w:rPr>
        <w:t xml:space="preserve"> with </w:t>
      </w:r>
      <w:r w:rsidR="002170C3">
        <w:rPr>
          <w:rFonts w:cstheme="minorHAnsi"/>
          <w:bCs/>
        </w:rPr>
        <w:t>a</w:t>
      </w:r>
      <w:r w:rsidR="008605A8">
        <w:rPr>
          <w:rFonts w:cstheme="minorHAnsi"/>
          <w:bCs/>
        </w:rPr>
        <w:t xml:space="preserve"> simplified AD-Control phenotype</w:t>
      </w:r>
      <w:r>
        <w:rPr>
          <w:rFonts w:cstheme="minorHAnsi"/>
          <w:bCs/>
        </w:rPr>
        <w:t>.</w:t>
      </w:r>
      <w:r w:rsidR="002D22CE">
        <w:rPr>
          <w:rFonts w:cstheme="minorHAnsi"/>
          <w:bCs/>
        </w:rPr>
        <w:t xml:space="preserve"> In this study </w:t>
      </w:r>
      <w:r w:rsidR="007965BE">
        <w:rPr>
          <w:rFonts w:cstheme="minorHAnsi"/>
          <w:bCs/>
        </w:rPr>
        <w:t xml:space="preserve">we attempt to characterize LOAD heterogeneity based on transcriptomic data from post-mortem brain tissues of elderly individuals. Instead of using the commonly-used cluster methods that focus on finding averaged </w:t>
      </w:r>
      <w:r w:rsidR="00EC4850">
        <w:rPr>
          <w:rFonts w:cstheme="minorHAnsi"/>
          <w:bCs/>
        </w:rPr>
        <w:t>subgroups, w</w:t>
      </w:r>
      <w:r w:rsidR="007965BE">
        <w:rPr>
          <w:rFonts w:cstheme="minorHAnsi"/>
          <w:bCs/>
        </w:rPr>
        <w:t>e use archetype analysis</w:t>
      </w:r>
      <w:r w:rsidR="004E57D3">
        <w:rPr>
          <w:rFonts w:cstheme="minorHAnsi"/>
          <w:bCs/>
        </w:rPr>
        <w:t xml:space="preserve"> [REFS##]</w:t>
      </w:r>
      <w:r w:rsidR="007965BE">
        <w:rPr>
          <w:rFonts w:cstheme="minorHAnsi"/>
          <w:bCs/>
        </w:rPr>
        <w:t xml:space="preserve">, </w:t>
      </w:r>
      <w:r w:rsidR="00B706E1">
        <w:rPr>
          <w:rFonts w:cstheme="minorHAnsi"/>
          <w:bCs/>
        </w:rPr>
        <w:t>which</w:t>
      </w:r>
      <w:r w:rsidR="00EC4850">
        <w:rPr>
          <w:rFonts w:cstheme="minorHAnsi"/>
          <w:bCs/>
        </w:rPr>
        <w:t xml:space="preserve"> aims to identify end-members </w:t>
      </w:r>
      <w:r w:rsidR="00683E7C">
        <w:rPr>
          <w:rFonts w:cstheme="minorHAnsi"/>
          <w:bCs/>
        </w:rPr>
        <w:t>that</w:t>
      </w:r>
      <w:r w:rsidR="00EC4850">
        <w:rPr>
          <w:rFonts w:cstheme="minorHAnsi"/>
          <w:bCs/>
        </w:rPr>
        <w:t xml:space="preserve"> highlight the distinct attributes of subgroups.</w:t>
      </w:r>
    </w:p>
    <w:p w14:paraId="3B22975D" w14:textId="1FC87952" w:rsidR="00FC6A8B" w:rsidRDefault="002170C3" w:rsidP="00B8176E">
      <w:pPr>
        <w:spacing w:line="360" w:lineRule="auto"/>
        <w:rPr>
          <w:rFonts w:cstheme="minorHAnsi"/>
          <w:bCs/>
        </w:rPr>
      </w:pPr>
      <w:r>
        <w:rPr>
          <w:rFonts w:cstheme="minorHAnsi"/>
          <w:bCs/>
        </w:rPr>
        <w:t xml:space="preserve">Several studies have recently </w:t>
      </w:r>
      <w:r w:rsidR="006A4CC0">
        <w:rPr>
          <w:rFonts w:cstheme="minorHAnsi"/>
          <w:bCs/>
        </w:rPr>
        <w:t>utilized molecular data to</w:t>
      </w:r>
      <w:r>
        <w:rPr>
          <w:rFonts w:cstheme="minorHAnsi"/>
          <w:bCs/>
        </w:rPr>
        <w:t xml:space="preserve"> </w:t>
      </w:r>
      <w:r w:rsidR="00F5715D">
        <w:rPr>
          <w:rFonts w:cstheme="minorHAnsi"/>
          <w:bCs/>
        </w:rPr>
        <w:t>identify</w:t>
      </w:r>
      <w:r>
        <w:rPr>
          <w:rFonts w:cstheme="minorHAnsi"/>
          <w:bCs/>
        </w:rPr>
        <w:t xml:space="preserve"> LOAD </w:t>
      </w:r>
      <w:r w:rsidR="001E635B">
        <w:rPr>
          <w:rFonts w:cstheme="minorHAnsi"/>
          <w:bCs/>
        </w:rPr>
        <w:t>stages and</w:t>
      </w:r>
      <w:r>
        <w:rPr>
          <w:rFonts w:cstheme="minorHAnsi"/>
          <w:bCs/>
        </w:rPr>
        <w:t xml:space="preserve"> subtypes</w:t>
      </w:r>
      <w:r w:rsidR="00703CD2">
        <w:rPr>
          <w:rFonts w:cstheme="minorHAnsi"/>
          <w:bCs/>
        </w:rPr>
        <w:t xml:space="preserve"> in order</w:t>
      </w:r>
      <w:r w:rsidR="006A4CC0">
        <w:rPr>
          <w:rFonts w:cstheme="minorHAnsi"/>
          <w:bCs/>
        </w:rPr>
        <w:t xml:space="preserve"> to</w:t>
      </w:r>
      <w:r w:rsidR="00F5715D">
        <w:rPr>
          <w:rFonts w:cstheme="minorHAnsi"/>
          <w:bCs/>
        </w:rPr>
        <w:t xml:space="preserve"> better characterize</w:t>
      </w:r>
      <w:r w:rsidR="006A4CC0">
        <w:rPr>
          <w:rFonts w:cstheme="minorHAnsi"/>
          <w:bCs/>
        </w:rPr>
        <w:t xml:space="preserve"> </w:t>
      </w:r>
      <w:r w:rsidR="00F5715D">
        <w:rPr>
          <w:rFonts w:cstheme="minorHAnsi"/>
          <w:bCs/>
        </w:rPr>
        <w:t xml:space="preserve">LOAD phenotypes and thus refine </w:t>
      </w:r>
      <w:r w:rsidR="006A4CC0">
        <w:rPr>
          <w:rFonts w:cstheme="minorHAnsi"/>
          <w:bCs/>
        </w:rPr>
        <w:t xml:space="preserve">genome-wide associations </w:t>
      </w:r>
      <w:r w:rsidR="003830F4">
        <w:rPr>
          <w:rFonts w:cstheme="minorHAnsi"/>
          <w:bCs/>
        </w:rPr>
        <w:fldChar w:fldCharType="begin" w:fldLock="1"/>
      </w:r>
      <w:r w:rsidR="00FE4D97">
        <w:rPr>
          <w:rFonts w:cstheme="minorHAnsi"/>
          <w:bCs/>
        </w:rPr>
        <w:instrText>ADDIN CSL_CITATION {"citationItems":[{"id":"ITEM-1","itemData":{"DOI":"10.1101/763516","abstract":"Late-Onset Alzheimer’s disease (LOAD) is a common, complex genetic disorder well-known for its heterogeneous pathology. The genetic heterogeneity underlying common complex diseases poses a major challenge for targeted therapies and the identification of novel disease-associated variants. Case-control approaches are often limited to examining a specific outcome in a group of heterogenous patients with different clinical characteristics. Here, we developed a novel approach to define relevant transcriptomic endophenotypes and stratify decedents based on molecular profiles in three independent human LOAD cohorts. By integrating post-mortem brain gene co-expression data from 2114 human samples with LOAD, we developed a novel quantitative, composite phenotype that can better account for the heterogeneity in genetic architecture underlying the disease. We used iterative weighted gene co-expression network analysis (WGCNA) analysis to reduce data dimensionality and to isolate gene sets that are highly co-expressed within disease subtypes and represent specific molecular pathways. We then performed single variant association testing using whole genome-sequencing data for the novel composite phenotype in order to identify genetic loci that contribute to disease heterogeneity. Distinct LOAD subtypes were identified for all three study cohorts (two in ROSMAP, three in Mayo Clinic, two in Mount Sinai Brain Bank). Single variant association analysis identified a genome-wide significant variant in TMEM106B (p-value &lt; 5×10−8, rs1990620G) in the ROSMAP cohort that confers protection from the inflammatory LOAD subtype. Taken together, our novel approach can be used to stratify LOAD into distinct molecular subtypes based on affected disease pathways.","author":[{"dropping-particle":"","family":"Milind","given":"Nikhil","non-dropping-particle":"","parse-names":false,"suffix":""},{"dropping-particle":"","family":"Preuss","given":"Christoph","non-dropping-particle":"","parse-names":false,"suffix":""},{"dropping-particle":"","family":"Haber","given":"Annat","non-dropping-particle":"","parse-names":false,"suffix":""},{"dropping-particle":"","family":"Ananda","given":"Guru","non-dropping-particle":"","parse-names":false,"suffix":""},{"dropping-particle":"","family":"Mukherjee","given":"Shubhabrata","non-dropping-particle":"","parse-names":false,"suffix":""},{"dropping-particle":"","family":"John","given":"Cai","non-dropping-particle":"","parse-names":false,"suffix":""},{"dropping-particle":"","family":"Shapley","given":"Sarah","non-dropping-particle":"","parse-names":false,"suffix":""},{"dropping-particle":"","family":"Tyler","given":"Anna L","non-dropping-particle":"","parse-names":false,"suffix":""},{"dropping-particle":"","family":"Logsdon","given":"Benjamin A","non-dropping-particle":"","parse-names":false,"suffix":""},{"dropping-particle":"","family":"Crane","given":"Paul K","non-dropping-particle":"","parse-names":false,"suffix":""},{"dropping-particle":"","family":"Carter","given":"Gregory W","non-dropping-particle":"","parse-names":false,"suffix":""}],"container-title":"bioRxiv","id":"ITEM-1","issued":{"date-parts":[["2019","9","11"]]},"page":"51404","publisher":"Cold Spring Harbor Laboratory","title":"Transcriptomic Stratification of Late-Onset Alzheimer's Cases Reveals Novel Genetic Modifiers of Disease Pathology","type":"article-journal"},"uris":["http://www.mendeley.com/documents/?uuid=bbce8a1f-d765-3511-a62a-979b59b3e5f5"]},{"id":"ITEM-2","itemData":{"DOI":"10.1016/j.cels.2016.11.006","ISSN":"24054720","PMID":"27989508","abstract":"Here, we report proteomic analyses of 129 human cortical tissues to define changes associated with the asymptomatic and symptomatic stages of Alzheimer's disease (AD). Network analysis revealed 16 modules of co-expressed proteins, 10 of which correlated with AD phenotypes. A subset of modules overlapped with RNA co-expression networks, including those associated with neurons and astroglial cell types, showing altered expression in AD, even in the asymptomatic stages. Overlap of RNA and protein networks was otherwise modest, with many modules specific to the proteome, including those linked to microtubule function and inflammation. Proteomic modules were validated in an independent cohort, demonstrating some module expression changes unique to AD and several observed in other neurodegenerative diseases. AD genetic risk loci were concentrated in glial-related modules in the proteome and transcriptome, consistent with their causal role in AD. This multi-network analysis reveals protein- and disease-specific pathways involved in the etiology, initiation, and progression of AD.","author":[{"dropping-particle":"","family":"Seyfried","given":"Nicholas T.","non-dropping-particle":"","parse-names":false,"suffix":""},{"dropping-particle":"","family":"Dammer","given":"Eric B.","non-dropping-particle":"","parse-names":false,"suffix":""},{"dropping-particle":"","family":"Swarup","given":"Vivek","non-dropping-particle":"","parse-names":false,"suffix":""},{"dropping-particle":"","family":"Nandakumar","given":"Divya","non-dropping-particle":"","parse-names":false,"suffix":""},{"dropping-particle":"","family":"Duong","given":"Duc M.","non-dropping-particle":"","parse-names":false,"suffix":""},{"dropping-particle":"","family":"Yin","given":"Luming","non-dropping-particle":"","parse-names":false,"suffix":""},{"dropping-particle":"","family":"Deng","given":"Qiudong","non-dropping-particle":"","parse-names":false,"suffix":""},{"dropping-particle":"","family":"Nguyen","given":"Tram","non-dropping-particle":"","parse-names":false,"suffix":""},{"dropping-particle":"","family":"Hales","given":"Chadwick M.","non-dropping-particle":"","parse-names":false,"suffix":""},{"dropping-particle":"","family":"Wingo","given":"Thomas","non-dropping-particle":"","parse-names":false,"suffix":""},{"dropping-particle":"","family":"Glass","given":"Jonathan","non-dropping-particle":"","parse-names":false,"suffix":""},{"dropping-particle":"","family":"Gearing","given":"Marla","non-dropping-particle":"","parse-names":false,"suffix":""},{"dropping-particle":"","family":"Thambisetty","given":"Madhav","non-dropping-particle":"","parse-names":false,"suffix":""},{"dropping-particle":"","family":"Troncoso","given":"Juan C.","non-dropping-particle":"","parse-names":false,"suffix":""},{"dropping-particle":"","family":"Geschwind","given":"Daniel H.","non-dropping-particle":"","parse-names":false,"suffix":""},{"dropping-particle":"","family":"Lah","given":"James J.","non-dropping-particle":"","parse-names":false,"suffix":""},{"dropping-particle":"","family":"Levey","given":"Allan I.","non-dropping-particle":"","parse-names":false,"suffix":""}],"container-title":"Cell Systems","id":"ITEM-2","issue":"1","issued":{"date-parts":[["2017","1","25"]]},"page":"60-72.e4","publisher":"Cell Press","title":"A Multi-network Approach Identifies Protein-Specific Co-expression in Asymptomatic and Symptomatic Alzheimer's Disease","type":"article-journal","volume":"4"},"uris":["http://www.mendeley.com/documents/?uuid=84722638-a9d5-3d46-855a-539d1836ca47"]},{"id":"ITEM-3","itemData":{"DOI":"10.1186/gm452","ISSN":"1756994X","abstract":"Background: Transcriptional studies suggest Alzheimer's disease (AD) involves dysfunction of many cellular pathways, including synaptic transmission, cytoskeletal dynamics, energetics, and apoptosis. Despite known progression of AD pathologies, it is unclear how such striking regional vulnerability occurs, or which genes play causative roles in disease progression.Methods: To address these issues, we performed a large-scale transcriptional analysis in the CA1 and relatively less vulnerable CA3 brain regions of individuals with advanced AD and nondemented controls. In our study, we assessed differential gene expression across region and disease status, compared our results to previous studies of similar design, and performed an unbiased co-expression analysis using weighted gene co-expression network analysis (WGCNA). Several disease genes were identified and validated using qRT-PCR.Results: We find disease signatures consistent with several previous microarray studies, then extend these results to show a relationship between disease status and brain region. Specifically, genes showing decreased expression with AD progression tend to show enrichment in CA3 (and vice versa), suggesting transcription levels may reflect a region's vulnerability to disease. Additionally, we find several candidate vulnerability (ABCA1, MT1H, PDK4, RHOBTB3) and protection (FAM13A1, LINGO2, UNC13C) genes based on expression patterns. Finally, we use a systems-biology approach based on WGCNA to uncover disease-relevant expression patterns for major cell types, including pathways consistent with a key role for early microglial activation in AD.Conclusions: These results paint a picture of AD as a multifaceted disease involving slight transcriptional changes in many genes between regions, coupled with a systemic immune response, gliosis, and neurodegeneration. Despite this complexity, we find that a consistent picture of gene expression in AD is emerging. © 2013 Miller et al.; licensee BioMed Central Ltd.","author":[{"dropping-particle":"","family":"Miller","given":"Jeremy A.","non-dropping-particle":"","parse-names":false,"suffix":""},{"dropping-particle":"","family":"Woltjer","given":"Randall L.","non-dropping-particle":"","parse-names":false,"suffix":""},{"dropping-particle":"","family":"Goodenbour","given":"Jeff M.","non-dropping-particle":"","parse-names":false,"suffix":""},{"dropping-particle":"","family":"Horvath","given":"Steve","non-dropping-particle":"","parse-names":false,"suffix":""},{"dropping-particle":"","family":"Geschwind","given":"Daniel H.","non-dropping-particle":"","parse-names":false,"suffix":""}],"container-title":"Genome Medicine","id":"ITEM-3","issue":"5","issued":{"date-parts":[["2013","5","25"]]},"page":"48","title":"Genes and pathways underlying regional and cell type changes in Alzheimer's disease","type":"article-journal","volume":"5"},"uris":["http://www.mendeley.com/documents/?uuid=f7501a8a-eabd-3647-9ce7-5a1fdc526525"]},{"id":"ITEM-4","itemData":{"DOI":"10.1101/686824","abstract":"Therapeutic treatments for late-onset Alzheimer’s disease (LOAD) are hindered by an incomplete understanding of the temporal molecular changes that lead to disease onset and progression. Here, we evaluate the ability of manifold learning to develop a molecular model for the unobserved temporal disease progression from RNA-Seq data collected from human postmortem brain samples collected within the ROS/MAP and Mayo Clinic RNA-Seq studies of the AMP-AD consortium. This approach defines a cross-sectional ordering across samples based on their relative similarity in RNA-Seq profiles and uses this information to define an estimate of molecular disease stage – or disease progression pseudotime - for each sample. This transcriptional estimate of disease progression is strongly concordant with burden of tau pathology (Braak score, P = 1.0×10−5), amyloid pathology (CERAD score, P = 1.8×10−5), and cognitive diagnosis (P = 3.5×10−7) of LOAD. Further, the disease progression estimate recapitulates known changes in cell type abundance and impact of genes that harbor known AD risk loci. Samples estimated to reside early in disease progression were enriched for control and early stage AD cases, and demonstrated changes in basic cellular functions. Samples estimated to reside late in disease progression were enriched for late-stage AD cases, and demonstrated changes in known disease processes including neuroinflammation and amyloid pathology. We also identified a set of control samples with late-stage estimated disease progression who also showed compensatory changes in genes involved in affected pathways are protein trafficking, splicing, regulation of apoptosis, and prevention of amyloid cleavage. In summary, we present a disease specific method for ordering patients based on their LOAD disease progression from CNS transcriptomic data.","author":[{"dropping-particle":"","family":"Mukherjee","given":"Sumit","non-dropping-particle":"","parse-names":false,"suffix":""},{"dropping-particle":"","family":"Preuss","given":"Christoph","non-dropping-particle":"","parse-names":false,"suffix":""},{"dropping-particle":"","family":"Jayadev","given":"Suman","non-dropping-particle":"","parse-names":false,"suffix":""},{"dropping-particle":"","family":"Garden","given":"Gwenn","non-dropping-particle":"","parse-names":false,"suffix":""},{"dropping-particle":"","family":"Greenwood","given":"Anna K","non-dropping-particle":"","parse-names":false,"suffix":""},{"dropping-particle":"","family":"Sieberts","given":"Solveig K","non-dropping-particle":"","parse-names":false,"suffix":""},{"dropping-particle":"De","family":"Jager","given":"Phillip L","non-dropping-particle":"","parse-names":false,"suffix":""},{"dropping-particle":"","family":"Eretkin-Taner","given":"Nilufer","non-dropping-particle":"","parse-names":false,"suffix":""},{"dropping-particle":"","family":"Carter","given":"Gregory W","non-dropping-particle":"","parse-names":false,"suffix":""},{"dropping-particle":"","family":"Mangravite","given":"Lara M","non-dropping-particle":"","parse-names":false,"suffix":""},{"dropping-particle":"","family":"Logsdon","given":"Benjamin A","non-dropping-particle":"","parse-names":false,"suffix":""}],"container-title":"bioRxiv","id":"ITEM-4","issued":{"date-parts":[["2019","6","28"]]},"page":"686824","publisher":"Cold Spring Harbor Laboratory","title":"Molecular estimation of neurodegeneration pseudotime in older brains","type":"article-journal"},"uris":["http://www.mendeley.com/documents/?uuid=4ed631ef-8370-3e6b-9a62-8977dd1c6cbe"]},{"id":"ITEM-5","itemData":{"DOI":"10.1016/j.cell.2015.12.056","ISSN":"10974172","abstract":"The amyloid hypothesis for Alzheimer's disease (AD) posits a neuron-centric, linear cascade initiated by Aβ and leading to dementia. This direct causality is incompatible with clinical observations. We review evidence supporting a long, complex cellular phase consisting of feedback and feedforward responses of astrocytes, microglia, and vasculature. The field must incorporate this holistic view and take advantage of advances in single-cell approaches to resolve the critical junctures at which perturbations initially amenable to compensatory feedback transform into irreversible, progressive neurodegeneration.","author":[{"dropping-particle":"","family":"Strooper","given":"Bart","non-dropping-particle":"De","parse-names":false,"suffix":""},{"dropping-particle":"","family":"Karran","given":"Eric","non-dropping-particle":"","parse-names":false,"suffix":""}],"container-title":"Cell","id":"ITEM-5","issue":"4","issued":{"date-parts":[["2016","2","11"]]},"page":"603-615","publisher":"Cell Press","title":"The Cellular Phase of Alzheimer's Disease","type":"article","volume":"164"},"uris":["http://www.mendeley.com/documents/?uuid=4f5137a7-993a-3547-bc16-52acbbdc3e57"]},{"id":"ITEM-6","itemData":{"DOI":"10.1038/s41593-018-0154-9","ISSN":"15461726","abstract":"There is a need for new therapeutic targets with which to prevent Alzheimer's disease (AD), a major contributor to aging-related cognitive decline. Here we report the construction and validation of a molecular network of the aging human frontal cortex. Using RNA sequence data from 478 individuals, we first build a molecular network using modules of coexpressed genes and then relate these modules to AD and its neuropathologic and cognitive endophenotypes. We confirm these associations in two independent AD datasets. We also illustrate the use of the network in prioritizing amyloid- and cognition-associated genes for in vitro validation in human neurons and astrocytes. These analyses based on unique cohorts enable us to resolve the role of distinct cortical modules that have a direct effect on the accumulation of AD pathology from those that have a direct effect on cognitive decline, exemplifying a network approach to complex diseases.","author":[{"dropping-particle":"","family":"Mostafavi","given":"Sara","non-dropping-particle":"","parse-names":false,"suffix":""},{"dropping-particle":"","family":"Gaiteri","given":"Chris","non-dropping-particle":"","parse-names":false,"suffix":""},{"dropping-particle":"","family":"Sullivan","given":"Sarah E.","non-dropping-particle":"","parse-names":false,"suffix":""},{"dropping-particle":"","family":"White","given":"Charles C.","non-dropping-particle":"","parse-names":false,"suffix":""},{"dropping-particle":"","family":"Tasaki","given":"Shinya","non-dropping-particle":"","parse-names":false,"suffix":""},{"dropping-particle":"","family":"Xu","given":"Jishu","non-dropping-particle":"","parse-names":false,"suffix":""},{"dropping-particle":"","family":"Taga","given":"Mariko","non-dropping-particle":"","parse-names":false,"suffix":""},{"dropping-particle":"","family":"Klein","given":"Hans Ulrich","non-dropping-particle":"","parse-names":false,"suffix":""},{"dropping-particle":"","family":"Patrick","given":"Ellis","non-dropping-particle":"","parse-names":false,"suffix":""},{"dropping-particle":"","family":"Komashko","given":"Vitalina","non-dropping-particle":"","parse-names":false,"suffix":""},{"dropping-particle":"","family":"McCabe","given":"Cristin","non-dropping-particle":"","parse-names":false,"suffix":""},{"dropping-particle":"","family":"Smith","given":"Robert","non-dropping-particle":"","parse-names":false,"suffix":""},{"dropping-particle":"","family":"Bradshaw","given":"Elizabeth M.","non-dropping-particle":"","parse-names":false,"suffix":""},{"dropping-particle":"","family":"Root","given":"David E.","non-dropping-particle":"","parse-names":false,"suffix":""},{"dropping-particle":"","family":"Regev","given":"Aviv","non-dropping-particle":"","parse-names":false,"suffix":""},{"dropping-particle":"","family":"Yu","given":"Lei","non-dropping-particle":"","parse-names":false,"suffix":""},{"dropping-particle":"","family":"Chibnik","given":"Lori B.","non-dropping-particle":"","parse-names":false,"suffix":""},{"dropping-particle":"","family":"Schneider","given":"Julie A.","non-dropping-particle":"","parse-names":false,"suffix":""},{"dropping-particle":"","family":"Young-Pearse","given":"Tracy L.","non-dropping-particle":"","parse-names":false,"suffix":""},{"dropping-particle":"","family":"Bennett","given":"David A.","non-dropping-particle":"","parse-names":false,"suffix":""},{"dropping-particle":"","family":"Jager","given":"Philip L.","non-dropping-particle":"De","parse-names":false,"suffix":""}],"container-title":"Nature Neuroscience","id":"ITEM-6","issue":"6","issued":{"date-parts":[["2018","6","1"]]},"page":"811-819","publisher":"Nature Publishing Group","title":"A molecular network of the aging human brain provides insights into the pathology and cognitive decline of Alzheimer's disease","type":"article-journal","volume":"21"},"uris":["http://www.mendeley.com/documents/?uuid=7e8595ab-793a-3e69-9259-6242cb71d51d"]},{"id":"ITEM-7","itemData":{"DOI":"10.1101/510420","abstract":"Alzheimer’s disease (AD) is a complex and heterogenous brain disease that affects multiple inter-related biological processes. This complexity contributes, in part, to existing difficulties in the identification of successful disease-modifying therapeutic strategies. To address this, systems approaches are being used to characterize AD-related disruption in molecular state. To evaluate the consistency across these molecular models, a consensus atlas of the human brain transcriptome was developed through coexpression meta-analysis across the AMP-AD consortium. Consensus analysis was performed across five coexpression methods used to analyze RNA-seq data collected from 2114 samples across 7 brain regions and 3 research studies. From this analysis, five consensus clusters were identified that described the major sources of AD-related alterations in transcriptional state that were consistent across studies, methods, and samples. AD genetic associations, previously studied AD-related biological processes, and AD targets under active investigation were enriched in only three of these five clusters. The remaining two clusters demonstrated strong heterogeneity between males and females in AD-related expression that was consistently observed across studies. AD transcriptional modules identified by systems analysis of individual AMP-AD teams were all represented in one of these five consensus clusters except ROS/MAP-identified Module 109, which was specific for genes that showed the strongest association with changes in AD-related gene expression across consensus clusters. The other two AMP-AD transcriptional analyses reported modules that were enriched in one of the two sex-specific Consensus Clusters. The fifth cluster has not been previously identified and was enriched for genes related to proteostasis. This study provides an atlas to map across biological inquiries of AD with the goal of supporting an expansion in AD target discovery efforts.","author":[{"dropping-particle":"","family":"Logsdon","given":"Benjamin A.","non-dropping-particle":"","parse-names":false,"suffix":""},{"dropping-particle":"","family":"Perumal","given":"Thanneer M.","non-dropping-particle":"","parse-names":false,"suffix":""},{"dropping-particle":"","family":"Swarup","given":"Vivek","non-dropping-particle":"","parse-names":false,"suffix":""},{"dropping-particle":"","family":"Wang","given":"Minghui","non-dropping-particle":"","parse-names":false,"suffix":""},{"dropping-particle":"","family":"Funk","given":"Cory","non-dropping-particle":"","parse-names":false,"suffix":""},{"dropping-particle":"","family":"Gaiteri","given":"Chris","non-dropping-particle":"","parse-names":false,"suffix":""},{"dropping-particle":"","family":"Allen","given":"Mariet","non-dropping-particle":"","parse-names":false,"suffix":""},{"dropping-particle":"","family":"Wang","given":"Xue","non-dropping-particle":"","parse-names":false,"suffix":""},{"dropping-particle":"","family":"Dammer","given":"Eric","non-dropping-particle":"","parse-names":false,"suffix":""},{"dropping-particle":"","family":"Srivastava","given":"Gyan","non-dropping-particle":"","parse-names":false,"suffix":""},{"dropping-particle":"","family":"Mukherjee","given":"Sumit","non-dropping-particle":"","parse-names":false,"suffix":""},{"dropping-particle":"","family":"Sieberts","given":"Solveig K.","non-dropping-particle":"","parse-names":false,"suffix":""},{"dropping-particle":"","family":"Omberg","given":"Larsson","non-dropping-particle":"","parse-names":false,"suffix":""},{"dropping-particle":"","family":"Dang","given":"Kristen D.","non-dropping-particle":"","parse-names":false,"suffix":""},{"dropping-particle":"","family":"Eddy","given":"James A.","non-dropping-particle":"","parse-names":false,"suffix":""},{"dropping-particle":"","family":"Snyder","given":"Phil","non-dropping-particle":"","parse-names":false,"suffix":""},{"dropping-particle":"","family":"Chae","given":"Yooree","non-dropping-particle":"","parse-names":false,"suffix":""},{"dropping-particle":"","family":"Amberkar","given":"Sandeep","non-dropping-particle":"","parse-names":false,"suffix":""},{"dropping-particle":"","family":"Wei","given":"Wenbin","non-dropping-particle":"","parse-names":false,"suffix":""},{"dropping-particle":"","family":"Hide","given":"Winston","non-dropping-particle":"","parse-names":false,"suffix":""},{"dropping-particle":"","family":"Preuss","given":"Christoph","non-dropping-particle":"","parse-names":false,"suffix":""},{"dropping-particle":"","family":"Ergun","given":"Ayla","non-dropping-particle":"","parse-names":false,"suffix":""},{"dropping-particle":"","family":"Ebert","given":"Phillip J","non-dropping-particle":"","parse-names":false,"suffix":""},{"dropping-particle":"","family":"Airey","given":"David C.","non-dropping-particle":"","parse-names":false,"suffix":""},{"dropping-particle":"","family":"Carter","given":"Gregory W.","non-dropping-particle":"","parse-names":false,"suffix":""},{"dropping-particle":"","family":"Mostafavi","given":"Sara","non-dropping-particle":"","parse-names":false,"suffix":""},{"dropping-particle":"","family":"Yu","given":"Lei","non-dropping-particle":"","parse-names":false,"suffix":""},{"dropping-particle":"","family":"Klein","given":"Hans-Ulrich","non-dropping-particle":"","parse-names":false,"suffix":""},{"dropping-particle":"","family":"Consortium","given":"the AMP-AD","non-dropping-particle":"","parse-names":false,"suffix":""},{"dropping-particle":"","family":"Collier","given":"David A.","non-dropping-particle":"","parse-names":false,"suffix":""},{"dropping-particle":"","family":"Golde","given":"Todd","non-dropping-particle":"","parse-names":false,"suffix":""},{"dropping-particle":"","family":"Levey","given":"Allan","non-dropping-particle":"","parse-names":false,"suffix":""},{"dropping-particle":"","family":"Bennett","given":"David A.","non-dropping-particle":"","parse-names":false,"suffix":""},{"dropping-particle":"","family":"Estrada","given":"Karol","non-dropping-particle":"","parse-names":false,"suffix":""},{"dropping-particle":"","family":"Decker","given":"Michael","non-dropping-particle":"","parse-names":false,"suffix":""},{"dropping-particle":"","family":"Liu","given":"Zhandong","non-dropping-particle":"","parse-names":false,"suffix":""},{"dropping-particle":"","family":"Shulman","given":"Joshua M.","non-dropping-particle":"","parse-names":false,"suffix":""},{"dropping-particle":"","family":"Zhang","given":"Bin","non-dropping-particle":"","parse-names":false,"suffix":""},{"dropping-particle":"","family":"Schadt","given":"Eric","non-dropping-particle":"","parse-names":false,"suffix":""},{"dropping-particle":"De","family":"Jager","given":"Phillip L.","non-dropping-particle":"","parse-names":false,"suffix":""},{"dropping-particle":"","family":"Price","given":"Nathan D.","non-dropping-particle":"","parse-names":false,"suffix":""},{"dropping-particle":"","family":"Ertekin-Taner","given":"Nilüfer","non-dropping-particle":"","parse-names":false,"suffix":""},{"dropping-particle":"","family":"Mangravite","given":"Lara M.","non-dropping-particle":"","parse-names":false,"suffix":""}],"container-title":"bioRxiv","id":"ITEM-7","issued":{"date-parts":[["2019","1","3"]]},"page":"510420","publisher":"Cold Spring Harbor Laboratory","title":"Meta-analysis of the human brain transcriptome identifies heterogeneity across human AD coexpression modules robust to sample collection and methodological approach","type":"article-journal"},"uris":["http://www.mendeley.com/documents/?uuid=e7b38e49-0299-341a-b720-fc80205c433c"]}],"mendeley":{"formattedCitation":"[5]–[11]","plainTextFormattedCitation":"[5]–[11]","previouslyFormattedCitation":"[5]–[11]"},"properties":{"noteIndex":0},"schema":"https://github.com/citation-style-language/schema/raw/master/csl-citation.json"}</w:instrText>
      </w:r>
      <w:r w:rsidR="003830F4">
        <w:rPr>
          <w:rFonts w:cstheme="minorHAnsi"/>
          <w:bCs/>
        </w:rPr>
        <w:fldChar w:fldCharType="separate"/>
      </w:r>
      <w:r w:rsidR="00FE4D97" w:rsidRPr="00FE4D97">
        <w:rPr>
          <w:rFonts w:cstheme="minorHAnsi"/>
          <w:bCs/>
          <w:noProof/>
        </w:rPr>
        <w:t>[5]–[11]</w:t>
      </w:r>
      <w:r w:rsidR="003830F4">
        <w:rPr>
          <w:rFonts w:cstheme="minorHAnsi"/>
          <w:bCs/>
        </w:rPr>
        <w:fldChar w:fldCharType="end"/>
      </w:r>
      <w:r w:rsidR="006A4CC0">
        <w:rPr>
          <w:rFonts w:cstheme="minorHAnsi"/>
          <w:bCs/>
        </w:rPr>
        <w:t>.</w:t>
      </w:r>
      <w:r w:rsidR="009811E9">
        <w:rPr>
          <w:rFonts w:cstheme="minorHAnsi"/>
          <w:bCs/>
        </w:rPr>
        <w:t xml:space="preserve"> Both transcriptomic and proteomic data consistently reveal </w:t>
      </w:r>
      <w:r w:rsidR="00EE4E5F">
        <w:rPr>
          <w:rFonts w:cstheme="minorHAnsi"/>
          <w:bCs/>
        </w:rPr>
        <w:t xml:space="preserve">co-expression modules that are enriched for </w:t>
      </w:r>
      <w:r w:rsidR="007B02A2">
        <w:rPr>
          <w:rFonts w:cstheme="minorHAnsi"/>
          <w:bCs/>
        </w:rPr>
        <w:t>different</w:t>
      </w:r>
      <w:r w:rsidR="00EE4E5F">
        <w:rPr>
          <w:rFonts w:cstheme="minorHAnsi"/>
          <w:bCs/>
        </w:rPr>
        <w:t xml:space="preserve"> brain cell types and </w:t>
      </w:r>
      <w:r w:rsidR="001779A7">
        <w:rPr>
          <w:rFonts w:cstheme="minorHAnsi"/>
          <w:bCs/>
        </w:rPr>
        <w:t xml:space="preserve">known </w:t>
      </w:r>
      <w:r w:rsidR="00CD74BF">
        <w:rPr>
          <w:rFonts w:cstheme="minorHAnsi"/>
          <w:bCs/>
        </w:rPr>
        <w:t xml:space="preserve">LOAD </w:t>
      </w:r>
      <w:r w:rsidR="00EE4E5F">
        <w:rPr>
          <w:rFonts w:cstheme="minorHAnsi"/>
          <w:bCs/>
        </w:rPr>
        <w:t>GWAS candidates</w:t>
      </w:r>
      <w:r w:rsidR="00591DAF">
        <w:rPr>
          <w:rFonts w:cstheme="minorHAnsi"/>
          <w:bCs/>
        </w:rPr>
        <w:t xml:space="preserve">, and </w:t>
      </w:r>
      <w:r w:rsidR="00F75F59">
        <w:rPr>
          <w:rFonts w:cstheme="minorHAnsi"/>
          <w:bCs/>
        </w:rPr>
        <w:t>are associated with different disease stages and subtypes</w:t>
      </w:r>
      <w:r w:rsidR="00EE4E5F">
        <w:rPr>
          <w:rFonts w:cstheme="minorHAnsi"/>
          <w:bCs/>
        </w:rPr>
        <w:t xml:space="preserve">. </w:t>
      </w:r>
      <w:commentRangeStart w:id="0"/>
      <w:r w:rsidR="00D42D0D">
        <w:rPr>
          <w:rFonts w:cstheme="minorHAnsi"/>
          <w:bCs/>
        </w:rPr>
        <w:t xml:space="preserve">For example, a proteomic study has found that oligodendrocytes and microglia markers linked to inflammation have been implicated in the symptomatic stages of the disease, while neuronal and synaptic loss may precede the onset of symptoms </w:t>
      </w:r>
      <w:r w:rsidR="00D42D0D">
        <w:rPr>
          <w:rFonts w:cstheme="minorHAnsi"/>
          <w:bCs/>
        </w:rPr>
        <w:fldChar w:fldCharType="begin" w:fldLock="1"/>
      </w:r>
      <w:r w:rsidR="00FE4D97">
        <w:rPr>
          <w:rFonts w:cstheme="minorHAnsi"/>
          <w:bCs/>
        </w:rPr>
        <w:instrText>ADDIN CSL_CITATION {"citationItems":[{"id":"ITEM-1","itemData":{"DOI":"10.1016/j.cels.2016.11.006","ISSN":"24054720","PMID":"27989508","abstract":"Here, we report proteomic analyses of 129 human cortical tissues to define changes associated with the asymptomatic and symptomatic stages of Alzheimer's disease (AD). Network analysis revealed 16 modules of co-expressed proteins, 10 of which correlated with AD phenotypes. A subset of modules overlapped with RNA co-expression networks, including those associated with neurons and astroglial cell types, showing altered expression in AD, even in the asymptomatic stages. Overlap of RNA and protein networks was otherwise modest, with many modules specific to the proteome, including those linked to microtubule function and inflammation. Proteomic modules were validated in an independent cohort, demonstrating some module expression changes unique to AD and several observed in other neurodegenerative diseases. AD genetic risk loci were concentrated in glial-related modules in the proteome and transcriptome, consistent with their causal role in AD. This multi-network analysis reveals protein- and disease-specific pathways involved in the etiology, initiation, and progression of AD.","author":[{"dropping-particle":"","family":"Seyfried","given":"Nicholas T.","non-dropping-particle":"","parse-names":false,"suffix":""},{"dropping-particle":"","family":"Dammer","given":"Eric B.","non-dropping-particle":"","parse-names":false,"suffix":""},{"dropping-particle":"","family":"Swarup","given":"Vivek","non-dropping-particle":"","parse-names":false,"suffix":""},{"dropping-particle":"","family":"Nandakumar","given":"Divya","non-dropping-particle":"","parse-names":false,"suffix":""},{"dropping-particle":"","family":"Duong","given":"Duc M.","non-dropping-particle":"","parse-names":false,"suffix":""},{"dropping-particle":"","family":"Yin","given":"Luming","non-dropping-particle":"","parse-names":false,"suffix":""},{"dropping-particle":"","family":"Deng","given":"Qiudong","non-dropping-particle":"","parse-names":false,"suffix":""},{"dropping-particle":"","family":"Nguyen","given":"Tram","non-dropping-particle":"","parse-names":false,"suffix":""},{"dropping-particle":"","family":"Hales","given":"Chadwick M.","non-dropping-particle":"","parse-names":false,"suffix":""},{"dropping-particle":"","family":"Wingo","given":"Thomas","non-dropping-particle":"","parse-names":false,"suffix":""},{"dropping-particle":"","family":"Glass","given":"Jonathan","non-dropping-particle":"","parse-names":false,"suffix":""},{"dropping-particle":"","family":"Gearing","given":"Marla","non-dropping-particle":"","parse-names":false,"suffix":""},{"dropping-particle":"","family":"Thambisetty","given":"Madhav","non-dropping-particle":"","parse-names":false,"suffix":""},{"dropping-particle":"","family":"Troncoso","given":"Juan C.","non-dropping-particle":"","parse-names":false,"suffix":""},{"dropping-particle":"","family":"Geschwind","given":"Daniel H.","non-dropping-particle":"","parse-names":false,"suffix":""},{"dropping-particle":"","family":"Lah","given":"James J.","non-dropping-particle":"","parse-names":false,"suffix":""},{"dropping-particle":"","family":"Levey","given":"Allan I.","non-dropping-particle":"","parse-names":false,"suffix":""}],"container-title":"Cell Systems","id":"ITEM-1","issue":"1","issued":{"date-parts":[["2017","1","25"]]},"page":"60-72.e4","publisher":"Cell Press","title":"A Multi-network Approach Identifies Protein-Specific Co-expression in Asymptomatic and Symptomatic Alzheimer's Disease","type":"article-journal","volume":"4"},"uris":["http://www.mendeley.com/documents/?uuid=84722638-a9d5-3d46-855a-539d1836ca47"]}],"mendeley":{"formattedCitation":"[6]","plainTextFormattedCitation":"[6]","previouslyFormattedCitation":"[6]"},"properties":{"noteIndex":0},"schema":"https://github.com/citation-style-language/schema/raw/master/csl-citation.json"}</w:instrText>
      </w:r>
      <w:r w:rsidR="00D42D0D">
        <w:rPr>
          <w:rFonts w:cstheme="minorHAnsi"/>
          <w:bCs/>
        </w:rPr>
        <w:fldChar w:fldCharType="separate"/>
      </w:r>
      <w:r w:rsidR="00FE4D97" w:rsidRPr="00FE4D97">
        <w:rPr>
          <w:rFonts w:cstheme="minorHAnsi"/>
          <w:bCs/>
          <w:noProof/>
        </w:rPr>
        <w:t>[6]</w:t>
      </w:r>
      <w:r w:rsidR="00D42D0D">
        <w:rPr>
          <w:rFonts w:cstheme="minorHAnsi"/>
          <w:bCs/>
        </w:rPr>
        <w:fldChar w:fldCharType="end"/>
      </w:r>
      <w:r w:rsidR="00D42D0D">
        <w:rPr>
          <w:rFonts w:cstheme="minorHAnsi"/>
          <w:bCs/>
        </w:rPr>
        <w:t xml:space="preserve">. </w:t>
      </w:r>
      <w:r w:rsidR="00B8176E">
        <w:rPr>
          <w:rFonts w:cstheme="minorHAnsi"/>
          <w:bCs/>
        </w:rPr>
        <w:t>Similarly</w:t>
      </w:r>
      <w:r w:rsidR="00D42D0D">
        <w:rPr>
          <w:rFonts w:cstheme="minorHAnsi"/>
          <w:bCs/>
        </w:rPr>
        <w:t>, transcriptomic studies have shown differential expression of genes associated with loss of basic cell functions</w:t>
      </w:r>
      <w:r w:rsidR="00EE059F">
        <w:rPr>
          <w:rFonts w:cstheme="minorHAnsi"/>
          <w:bCs/>
        </w:rPr>
        <w:t xml:space="preserve"> at earlier stages including neuronal and synaptic function</w:t>
      </w:r>
      <w:r w:rsidR="00D42D0D">
        <w:rPr>
          <w:rFonts w:cstheme="minorHAnsi"/>
          <w:bCs/>
        </w:rPr>
        <w:t>, and increased immune response at later stages</w:t>
      </w:r>
      <w:r w:rsidR="00B8176E">
        <w:rPr>
          <w:rFonts w:cstheme="minorHAnsi"/>
          <w:bCs/>
        </w:rPr>
        <w:t xml:space="preserve"> </w:t>
      </w:r>
      <w:r w:rsidR="00B8176E">
        <w:rPr>
          <w:rFonts w:cstheme="minorHAnsi"/>
          <w:bCs/>
        </w:rPr>
        <w:fldChar w:fldCharType="begin" w:fldLock="1"/>
      </w:r>
      <w:r w:rsidR="00FE4D97">
        <w:rPr>
          <w:rFonts w:cstheme="minorHAnsi"/>
          <w:bCs/>
        </w:rPr>
        <w:instrText>ADDIN CSL_CITATION {"citationItems":[{"id":"ITEM-1","itemData":{"DOI":"10.1101/686824","abstract":"Therapeutic treatments for late-onset Alzheimer’s disease (LOAD) are hindered by an incomplete understanding of the temporal molecular changes that lead to disease onset and progression. Here, we evaluate the ability of manifold learning to develop a molecular model for the unobserved temporal disease progression from RNA-Seq data collected from human postmortem brain samples collected within the ROS/MAP and Mayo Clinic RNA-Seq studies of the AMP-AD consortium. This approach defines a cross-sectional ordering across samples based on their relative similarity in RNA-Seq profiles and uses this information to define an estimate of molecular disease stage – or disease progression pseudotime - for each sample. This transcriptional estimate of disease progression is strongly concordant with burden of tau pathology (Braak score, P = 1.0×10−5), amyloid pathology (CERAD score, P = 1.8×10−5), and cognitive diagnosis (P = 3.5×10−7) of LOAD. Further, the disease progression estimate recapitulates known changes in cell type abundance and impact of genes that harbor known AD risk loci. Samples estimated to reside early in disease progression were enriched for control and early stage AD cases, and demonstrated changes in basic cellular functions. Samples estimated to reside late in disease progression were enriched for late-stage AD cases, and demonstrated changes in known disease processes including neuroinflammation and amyloid pathology. We also identified a set of control samples with late-stage estimated disease progression who also showed compensatory changes in genes involved in affected pathways are protein trafficking, splicing, regulation of apoptosis, and prevention of amyloid cleavage. In summary, we present a disease specific method for ordering patients based on their LOAD disease progression from CNS transcriptomic data.","author":[{"dropping-particle":"","family":"Mukherjee","given":"Sumit","non-dropping-particle":"","parse-names":false,"suffix":""},{"dropping-particle":"","family":"Preuss","given":"Christoph","non-dropping-particle":"","parse-names":false,"suffix":""},{"dropping-particle":"","family":"Jayadev","given":"Suman","non-dropping-particle":"","parse-names":false,"suffix":""},{"dropping-particle":"","family":"Garden","given":"Gwenn","non-dropping-particle":"","parse-names":false,"suffix":""},{"dropping-particle":"","family":"Greenwood","given":"Anna K","non-dropping-particle":"","parse-names":false,"suffix":""},{"dropping-particle":"","family":"Sieberts","given":"Solveig K","non-dropping-particle":"","parse-names":false,"suffix":""},{"dropping-particle":"De","family":"Jager","given":"Phillip L","non-dropping-particle":"","parse-names":false,"suffix":""},{"dropping-particle":"","family":"Eretkin-Taner","given":"Nilufer","non-dropping-particle":"","parse-names":false,"suffix":""},{"dropping-particle":"","family":"Carter","given":"Gregory W","non-dropping-particle":"","parse-names":false,"suffix":""},{"dropping-particle":"","family":"Mangravite","given":"Lara M","non-dropping-particle":"","parse-names":false,"suffix":""},{"dropping-particle":"","family":"Logsdon","given":"Benjamin A","non-dropping-particle":"","parse-names":false,"suffix":""}],"container-title":"bioRxiv","id":"ITEM-1","issued":{"date-parts":[["2019","6","28"]]},"page":"686824","publisher":"Cold Spring Harbor Laboratory","title":"Molecular estimation of neurodegeneration pseudotime in older brains","type":"article-journal"},"uris":["http://www.mendeley.com/documents/?uuid=4ed631ef-8370-3e6b-9a62-8977dd1c6cbe"]},{"id":"ITEM-2","itemData":{"DOI":"10.1186/gm452","ISSN":"1756994X","abstract":"Background: Transcriptional studies suggest Alzheimer's disease (AD) involves dysfunction of many cellular pathways, including synaptic transmission, cytoskeletal dynamics, energetics, and apoptosis. Despite known progression of AD pathologies, it is unclear how such striking regional vulnerability occurs, or which genes play causative roles in disease progression.Methods: To address these issues, we performed a large-scale transcriptional analysis in the CA1 and relatively less vulnerable CA3 brain regions of individuals with advanced AD and nondemented controls. In our study, we assessed differential gene expression across region and disease status, compared our results to previous studies of similar design, and performed an unbiased co-expression analysis using weighted gene co-expression network analysis (WGCNA). Several disease genes were identified and validated using qRT-PCR.Results: We find disease signatures consistent with several previous microarray studies, then extend these results to show a relationship between disease status and brain region. Specifically, genes showing decreased expression with AD progression tend to show enrichment in CA3 (and vice versa), suggesting transcription levels may reflect a region's vulnerability to disease. Additionally, we find several candidate vulnerability (ABCA1, MT1H, PDK4, RHOBTB3) and protection (FAM13A1, LINGO2, UNC13C) genes based on expression patterns. Finally, we use a systems-biology approach based on WGCNA to uncover disease-relevant expression patterns for major cell types, including pathways consistent with a key role for early microglial activation in AD.Conclusions: These results paint a picture of AD as a multifaceted disease involving slight transcriptional changes in many genes between regions, coupled with a systemic immune response, gliosis, and neurodegeneration. Despite this complexity, we find that a consistent picture of gene expression in AD is emerging. © 2013 Miller et al.; licensee BioMed Central Ltd.","author":[{"dropping-particle":"","family":"Miller","given":"Jeremy A.","non-dropping-particle":"","parse-names":false,"suffix":""},{"dropping-particle":"","family":"Woltjer","given":"Randall L.","non-dropping-particle":"","parse-names":false,"suffix":""},{"dropping-particle":"","family":"Goodenbour","given":"Jeff M.","non-dropping-particle":"","parse-names":false,"suffix":""},{"dropping-particle":"","family":"Horvath","given":"Steve","non-dropping-particle":"","parse-names":false,"suffix":""},{"dropping-particle":"","family":"Geschwind","given":"Daniel H.","non-dropping-particle":"","parse-names":false,"suffix":""}],"container-title":"Genome Medicine","id":"ITEM-2","issue":"5","issued":{"date-parts":[["2013","5","25"]]},"page":"48","title":"Genes and pathways underlying regional and cell type changes in Alzheimer's disease","type":"article-journal","volume":"5"},"uris":["http://www.mendeley.com/documents/?uuid=f7501a8a-eabd-3647-9ce7-5a1fdc526525"]},{"id":"ITEM-3","itemData":{"DOI":"10.1038/s41593-018-0154-9","ISSN":"15461726","abstract":"There is a need for new therapeutic targets with which to prevent Alzheimer's disease (AD), a major contributor to aging-related cognitive decline. Here we report the construction and validation of a molecular network of the aging human frontal cortex. Using RNA sequence data from 478 individuals, we first build a molecular network using modules of coexpressed genes and then relate these modules to AD and its neuropathologic and cognitive endophenotypes. We confirm these associations in two independent AD datasets. We also illustrate the use of the network in prioritizing amyloid- and cognition-associated genes for in vitro validation in human neurons and astrocytes. These analyses based on unique cohorts enable us to resolve the role of distinct cortical modules that have a direct effect on the accumulation of AD pathology from those that have a direct effect on cognitive decline, exemplifying a network approach to complex diseases.","author":[{"dropping-particle":"","family":"Mostafavi","given":"Sara","non-dropping-particle":"","parse-names":false,"suffix":""},{"dropping-particle":"","family":"Gaiteri","given":"Chris","non-dropping-particle":"","parse-names":false,"suffix":""},{"dropping-particle":"","family":"Sullivan","given":"Sarah E.","non-dropping-particle":"","parse-names":false,"suffix":""},{"dropping-particle":"","family":"White","given":"Charles C.","non-dropping-particle":"","parse-names":false,"suffix":""},{"dropping-particle":"","family":"Tasaki","given":"Shinya","non-dropping-particle":"","parse-names":false,"suffix":""},{"dropping-particle":"","family":"Xu","given":"Jishu","non-dropping-particle":"","parse-names":false,"suffix":""},{"dropping-particle":"","family":"Taga","given":"Mariko","non-dropping-particle":"","parse-names":false,"suffix":""},{"dropping-particle":"","family":"Klein","given":"Hans Ulrich","non-dropping-particle":"","parse-names":false,"suffix":""},{"dropping-particle":"","family":"Patrick","given":"Ellis","non-dropping-particle":"","parse-names":false,"suffix":""},{"dropping-particle":"","family":"Komashko","given":"Vitalina","non-dropping-particle":"","parse-names":false,"suffix":""},{"dropping-particle":"","family":"McCabe","given":"Cristin","non-dropping-particle":"","parse-names":false,"suffix":""},{"dropping-particle":"","family":"Smith","given":"Robert","non-dropping-particle":"","parse-names":false,"suffix":""},{"dropping-particle":"","family":"Bradshaw","given":"Elizabeth M.","non-dropping-particle":"","parse-names":false,"suffix":""},{"dropping-particle":"","family":"Root","given":"David E.","non-dropping-particle":"","parse-names":false,"suffix":""},{"dropping-particle":"","family":"Regev","given":"Aviv","non-dropping-particle":"","parse-names":false,"suffix":""},{"dropping-particle":"","family":"Yu","given":"Lei","non-dropping-particle":"","parse-names":false,"suffix":""},{"dropping-particle":"","family":"Chibnik","given":"Lori B.","non-dropping-particle":"","parse-names":false,"suffix":""},{"dropping-particle":"","family":"Schneider","given":"Julie A.","non-dropping-particle":"","parse-names":false,"suffix":""},{"dropping-particle":"","family":"Young-Pearse","given":"Tracy L.","non-dropping-particle":"","parse-names":false,"suffix":""},{"dropping-particle":"","family":"Bennett","given":"David A.","non-dropping-particle":"","parse-names":false,"suffix":""},{"dropping-particle":"","family":"Jager","given":"Philip L.","non-dropping-particle":"De","parse-names":false,"suffix":""}],"container-title":"Nature Neuroscience","id":"ITEM-3","issue":"6","issued":{"date-parts":[["2018","6","1"]]},"page":"811-819","publisher":"Nature Publishing Group","title":"A molecular network of the aging human brain provides insights into the pathology and cognitive decline of Alzheimer's disease","type":"article-journal","volume":"21"},"uris":["http://www.mendeley.com/documents/?uuid=7e8595ab-793a-3e69-9259-6242cb71d51d"]}],"mendeley":{"formattedCitation":"[7], [8], [10]","plainTextFormattedCitation":"[7], [8], [10]","previouslyFormattedCitation":"[7], [8], [10]"},"properties":{"noteIndex":0},"schema":"https://github.com/citation-style-language/schema/raw/master/csl-citation.json"}</w:instrText>
      </w:r>
      <w:r w:rsidR="00B8176E">
        <w:rPr>
          <w:rFonts w:cstheme="minorHAnsi"/>
          <w:bCs/>
        </w:rPr>
        <w:fldChar w:fldCharType="separate"/>
      </w:r>
      <w:r w:rsidR="00FE4D97" w:rsidRPr="00FE4D97">
        <w:rPr>
          <w:rFonts w:cstheme="minorHAnsi"/>
          <w:bCs/>
          <w:noProof/>
        </w:rPr>
        <w:t>[7], [8], [10]</w:t>
      </w:r>
      <w:r w:rsidR="00B8176E">
        <w:rPr>
          <w:rFonts w:cstheme="minorHAnsi"/>
          <w:bCs/>
        </w:rPr>
        <w:fldChar w:fldCharType="end"/>
      </w:r>
      <w:r w:rsidR="00D42D0D">
        <w:rPr>
          <w:rFonts w:cstheme="minorHAnsi"/>
          <w:bCs/>
        </w:rPr>
        <w:t>.</w:t>
      </w:r>
      <w:r w:rsidR="00B8176E">
        <w:rPr>
          <w:rFonts w:cstheme="minorHAnsi"/>
          <w:bCs/>
        </w:rPr>
        <w:t xml:space="preserve"> </w:t>
      </w:r>
      <w:r w:rsidR="00D42D0D">
        <w:rPr>
          <w:rFonts w:cstheme="minorHAnsi"/>
          <w:bCs/>
        </w:rPr>
        <w:t xml:space="preserve">Clustering methods of transcriptomic data have revealed 2-5 subtypes underlying population heterogeneity in different brain regions </w:t>
      </w:r>
      <w:r w:rsidR="00D42D0D" w:rsidRPr="003830F4">
        <w:rPr>
          <w:rFonts w:cstheme="minorHAnsi"/>
          <w:bCs/>
          <w:noProof/>
        </w:rPr>
        <w:t>[5]</w:t>
      </w:r>
      <w:r w:rsidR="00D42D0D">
        <w:rPr>
          <w:rFonts w:cstheme="minorHAnsi"/>
          <w:bCs/>
        </w:rPr>
        <w:t>.</w:t>
      </w:r>
      <w:r w:rsidR="00B8176E">
        <w:rPr>
          <w:rFonts w:cstheme="minorHAnsi"/>
          <w:bCs/>
        </w:rPr>
        <w:t xml:space="preserve"> </w:t>
      </w:r>
      <w:commentRangeEnd w:id="0"/>
      <w:r w:rsidR="00A66DBC">
        <w:rPr>
          <w:rStyle w:val="CommentReference"/>
        </w:rPr>
        <w:commentReference w:id="0"/>
      </w:r>
      <w:r w:rsidR="001779A7">
        <w:rPr>
          <w:rFonts w:cstheme="minorHAnsi"/>
          <w:bCs/>
        </w:rPr>
        <w:t xml:space="preserve">Using these modules and subtypes as quantitative phenotypes has revealed both known and new candidate genes </w:t>
      </w:r>
      <w:r w:rsidR="003D0B09">
        <w:rPr>
          <w:rFonts w:cstheme="minorHAnsi"/>
          <w:bCs/>
        </w:rPr>
        <w:t>specifically</w:t>
      </w:r>
      <w:r w:rsidR="001779A7">
        <w:rPr>
          <w:rFonts w:cstheme="minorHAnsi"/>
          <w:bCs/>
        </w:rPr>
        <w:t xml:space="preserve"> relevant to LOAD</w:t>
      </w:r>
      <w:r w:rsidR="003D0B09">
        <w:rPr>
          <w:rFonts w:cstheme="minorHAnsi"/>
          <w:bCs/>
        </w:rPr>
        <w:t xml:space="preserve">, illustrating the importance of accounting for population heterogeneity. </w:t>
      </w:r>
      <w:r w:rsidR="004E57D3">
        <w:rPr>
          <w:rFonts w:cstheme="minorHAnsi"/>
          <w:bCs/>
        </w:rPr>
        <w:t xml:space="preserve">Since archetype analysis </w:t>
      </w:r>
      <w:r w:rsidR="00C644A8">
        <w:rPr>
          <w:rFonts w:cstheme="minorHAnsi"/>
          <w:bCs/>
        </w:rPr>
        <w:t>focuses on</w:t>
      </w:r>
      <w:r w:rsidR="004E57D3">
        <w:rPr>
          <w:rFonts w:cstheme="minorHAnsi"/>
          <w:bCs/>
        </w:rPr>
        <w:t xml:space="preserve"> end-members rather than averaged clusters, it could potentially reveal even clearer molecular signals and more distinct subgroups in the data.</w:t>
      </w:r>
    </w:p>
    <w:p w14:paraId="3E903DDF" w14:textId="64222FD2" w:rsidR="004E57D3" w:rsidRDefault="00C644A8" w:rsidP="00A81FC9">
      <w:pPr>
        <w:spacing w:after="120" w:line="360" w:lineRule="auto"/>
        <w:rPr>
          <w:rFonts w:cstheme="minorHAnsi"/>
          <w:bCs/>
        </w:rPr>
      </w:pPr>
      <w:r>
        <w:rPr>
          <w:rFonts w:cstheme="minorHAnsi"/>
          <w:bCs/>
        </w:rPr>
        <w:lastRenderedPageBreak/>
        <w:t>Archetype analysis has been used in economics and engineering for a while. Recently, it has been adapted for the study of single-cell RNA-</w:t>
      </w:r>
      <w:proofErr w:type="spellStart"/>
      <w:r>
        <w:rPr>
          <w:rFonts w:cstheme="minorHAnsi"/>
          <w:bCs/>
        </w:rPr>
        <w:t>seq</w:t>
      </w:r>
      <w:proofErr w:type="spellEnd"/>
      <w:r>
        <w:rPr>
          <w:rFonts w:cstheme="minorHAnsi"/>
          <w:bCs/>
        </w:rPr>
        <w:t xml:space="preserve"> data.</w:t>
      </w:r>
    </w:p>
    <w:p w14:paraId="4C5A8F20" w14:textId="493196AA" w:rsidR="00D004DB" w:rsidRDefault="00D004DB" w:rsidP="002170C3">
      <w:pPr>
        <w:spacing w:after="120" w:line="360" w:lineRule="auto"/>
        <w:rPr>
          <w:rFonts w:cstheme="minorHAnsi"/>
          <w:bCs/>
        </w:rPr>
      </w:pPr>
    </w:p>
    <w:p w14:paraId="0E6DE202" w14:textId="77777777" w:rsidR="00D004DB" w:rsidRDefault="00D004DB" w:rsidP="002170C3">
      <w:pPr>
        <w:spacing w:after="120" w:line="360" w:lineRule="auto"/>
        <w:rPr>
          <w:rFonts w:cstheme="minorHAnsi"/>
          <w:bCs/>
        </w:rPr>
      </w:pPr>
    </w:p>
    <w:p w14:paraId="3F814F95" w14:textId="5ED6D042" w:rsidR="002170C3" w:rsidRDefault="002170C3" w:rsidP="002170C3">
      <w:pPr>
        <w:spacing w:after="120" w:line="360" w:lineRule="auto"/>
        <w:rPr>
          <w:rFonts w:cstheme="minorHAnsi"/>
          <w:bCs/>
        </w:rPr>
      </w:pPr>
    </w:p>
    <w:p w14:paraId="7200589A" w14:textId="125409FA" w:rsidR="002170C3" w:rsidRDefault="002170C3" w:rsidP="002170C3">
      <w:pPr>
        <w:spacing w:after="120" w:line="360" w:lineRule="auto"/>
        <w:rPr>
          <w:rFonts w:cstheme="minorHAnsi"/>
          <w:bCs/>
        </w:rPr>
      </w:pPr>
    </w:p>
    <w:p w14:paraId="3D0F8361" w14:textId="172FE5A0" w:rsidR="002170C3" w:rsidRDefault="002170C3" w:rsidP="002170C3">
      <w:pPr>
        <w:spacing w:after="120" w:line="360" w:lineRule="auto"/>
        <w:rPr>
          <w:rFonts w:cstheme="minorHAnsi"/>
          <w:bCs/>
        </w:rPr>
      </w:pPr>
    </w:p>
    <w:p w14:paraId="2388E63F" w14:textId="55F5BE6D" w:rsidR="002170C3" w:rsidRDefault="002170C3" w:rsidP="002170C3">
      <w:pPr>
        <w:spacing w:after="120" w:line="360" w:lineRule="auto"/>
        <w:rPr>
          <w:rFonts w:cstheme="minorHAnsi"/>
          <w:bCs/>
        </w:rPr>
      </w:pPr>
    </w:p>
    <w:p w14:paraId="4F9736A3" w14:textId="7717D949" w:rsidR="002170C3" w:rsidRDefault="002170C3" w:rsidP="002170C3">
      <w:pPr>
        <w:spacing w:after="120" w:line="360" w:lineRule="auto"/>
        <w:rPr>
          <w:rFonts w:cstheme="minorHAnsi"/>
          <w:bCs/>
        </w:rPr>
      </w:pPr>
    </w:p>
    <w:p w14:paraId="68F7D00F" w14:textId="77777777" w:rsidR="002170C3" w:rsidRDefault="002170C3" w:rsidP="002170C3">
      <w:pPr>
        <w:spacing w:after="120" w:line="360" w:lineRule="auto"/>
        <w:rPr>
          <w:rFonts w:cstheme="minorHAnsi"/>
          <w:bCs/>
        </w:rPr>
      </w:pPr>
    </w:p>
    <w:p w14:paraId="35175025" w14:textId="77777777" w:rsidR="002170C3" w:rsidRDefault="002170C3" w:rsidP="002170C3">
      <w:pPr>
        <w:spacing w:after="120" w:line="360" w:lineRule="auto"/>
        <w:rPr>
          <w:rFonts w:cstheme="minorHAnsi"/>
          <w:bCs/>
        </w:rPr>
      </w:pPr>
    </w:p>
    <w:p w14:paraId="2B6B0AD4" w14:textId="6F020264" w:rsidR="00FC6A8B" w:rsidRPr="00FC6A8B" w:rsidRDefault="00FC6A8B" w:rsidP="002170C3">
      <w:pPr>
        <w:widowControl w:val="0"/>
        <w:autoSpaceDE w:val="0"/>
        <w:autoSpaceDN w:val="0"/>
        <w:adjustRightInd w:val="0"/>
        <w:spacing w:after="120" w:line="360" w:lineRule="auto"/>
        <w:jc w:val="both"/>
        <w:rPr>
          <w:rFonts w:cstheme="minorHAnsi"/>
          <w:bCs/>
        </w:rPr>
      </w:pPr>
      <w:r>
        <w:rPr>
          <w:rFonts w:cstheme="minorHAnsi"/>
          <w:bCs/>
        </w:rPr>
        <w:t>METHODS</w:t>
      </w:r>
    </w:p>
    <w:p w14:paraId="7C83800B" w14:textId="1DE66986" w:rsidR="002D0304" w:rsidRPr="002D0304" w:rsidRDefault="00E6365A" w:rsidP="002170C3">
      <w:pPr>
        <w:widowControl w:val="0"/>
        <w:autoSpaceDE w:val="0"/>
        <w:autoSpaceDN w:val="0"/>
        <w:adjustRightInd w:val="0"/>
        <w:spacing w:after="120" w:line="360" w:lineRule="auto"/>
        <w:jc w:val="both"/>
        <w:rPr>
          <w:rFonts w:cstheme="minorHAnsi"/>
          <w:b/>
        </w:rPr>
      </w:pPr>
      <w:r>
        <w:rPr>
          <w:rFonts w:cstheme="minorHAnsi"/>
          <w:b/>
        </w:rPr>
        <w:t>D</w:t>
      </w:r>
      <w:r w:rsidR="002D0304" w:rsidRPr="002D0304">
        <w:rPr>
          <w:rFonts w:cstheme="minorHAnsi"/>
          <w:b/>
        </w:rPr>
        <w:t xml:space="preserve">ata </w:t>
      </w:r>
    </w:p>
    <w:p w14:paraId="7ABBC7EB" w14:textId="6435A2A4" w:rsidR="006B68E2" w:rsidRPr="002170C3" w:rsidRDefault="002D0304" w:rsidP="002170C3">
      <w:pPr>
        <w:spacing w:after="120" w:line="360" w:lineRule="auto"/>
        <w:rPr>
          <w:rFonts w:cstheme="minorHAnsi"/>
        </w:rPr>
      </w:pPr>
      <w:r w:rsidRPr="002D0304">
        <w:rPr>
          <w:rFonts w:cstheme="minorHAnsi"/>
        </w:rPr>
        <w:t>We obtained</w:t>
      </w:r>
      <w:r w:rsidR="00990499">
        <w:rPr>
          <w:rFonts w:cstheme="minorHAnsi"/>
        </w:rPr>
        <w:t xml:space="preserve"> clinical variables,</w:t>
      </w:r>
      <w:r w:rsidRPr="002D0304">
        <w:rPr>
          <w:rFonts w:cstheme="minorHAnsi"/>
        </w:rPr>
        <w:t xml:space="preserve"> whole-genome sequencing</w:t>
      </w:r>
      <w:r w:rsidR="00990499">
        <w:rPr>
          <w:rFonts w:cstheme="minorHAnsi"/>
        </w:rPr>
        <w:t>,</w:t>
      </w:r>
      <w:r w:rsidRPr="002D0304">
        <w:rPr>
          <w:rFonts w:cstheme="minorHAnsi"/>
        </w:rPr>
        <w:t xml:space="preserve"> and RNA sequencing (RNA-</w:t>
      </w:r>
      <w:proofErr w:type="spellStart"/>
      <w:r w:rsidRPr="002D0304">
        <w:rPr>
          <w:rFonts w:cstheme="minorHAnsi"/>
        </w:rPr>
        <w:t>Seq</w:t>
      </w:r>
      <w:proofErr w:type="spellEnd"/>
      <w:r w:rsidRPr="002D0304">
        <w:rPr>
          <w:rFonts w:cstheme="minorHAnsi"/>
        </w:rPr>
        <w:t>) data from Synapse (</w:t>
      </w:r>
      <w:hyperlink r:id="rId10" w:history="1">
        <w:r w:rsidR="000A705E" w:rsidRPr="00D23A9D">
          <w:rPr>
            <w:rStyle w:val="Hyperlink"/>
            <w:rFonts w:cstheme="minorHAnsi"/>
          </w:rPr>
          <w:t>https://www.synapse.org/</w:t>
        </w:r>
      </w:hyperlink>
      <w:r w:rsidR="00990499">
        <w:rPr>
          <w:rFonts w:cstheme="minorHAnsi"/>
        </w:rPr>
        <w:t xml:space="preserve">; </w:t>
      </w:r>
      <w:r w:rsidR="00990499" w:rsidRPr="00990499">
        <w:rPr>
          <w:rFonts w:cstheme="minorHAnsi"/>
        </w:rPr>
        <w:t>syn3191087</w:t>
      </w:r>
      <w:r w:rsidR="00990499">
        <w:rPr>
          <w:rFonts w:cstheme="minorHAnsi"/>
        </w:rPr>
        <w:t xml:space="preserve">, </w:t>
      </w:r>
      <w:r w:rsidR="00990499" w:rsidRPr="00990499">
        <w:rPr>
          <w:rFonts w:cstheme="minorHAnsi"/>
        </w:rPr>
        <w:t>syn11707420</w:t>
      </w:r>
      <w:r w:rsidR="00990499">
        <w:rPr>
          <w:rFonts w:cstheme="minorHAnsi"/>
        </w:rPr>
        <w:t xml:space="preserve">, and </w:t>
      </w:r>
      <w:r w:rsidR="00990499" w:rsidRPr="00990499">
        <w:rPr>
          <w:rFonts w:cstheme="minorHAnsi"/>
        </w:rPr>
        <w:t>syn8456719</w:t>
      </w:r>
      <w:r w:rsidR="00990499">
        <w:rPr>
          <w:rFonts w:cstheme="minorHAnsi"/>
        </w:rPr>
        <w:t>, respectively</w:t>
      </w:r>
      <w:r w:rsidRPr="002D0304">
        <w:rPr>
          <w:rFonts w:cstheme="minorHAnsi"/>
        </w:rPr>
        <w:t>)</w:t>
      </w:r>
      <w:r w:rsidR="000A705E">
        <w:rPr>
          <w:rFonts w:cstheme="minorHAnsi"/>
        </w:rPr>
        <w:t xml:space="preserve">. </w:t>
      </w:r>
      <w:r w:rsidRPr="002D0304">
        <w:rPr>
          <w:rFonts w:cstheme="minorHAnsi"/>
        </w:rPr>
        <w:t>The Rush University's Religious Orders Study and Memory and Aging Project (ROSMAP) cohort consists of 623 dorsolateral prefrontal cortex (DLPFC) samples of individuals from 40 groups of religious orders from across the United States (ROS) and older adults in retirement communities in th</w:t>
      </w:r>
      <w:bookmarkStart w:id="1" w:name="_GoBack"/>
      <w:bookmarkEnd w:id="1"/>
      <w:r w:rsidRPr="002D0304">
        <w:rPr>
          <w:rFonts w:cstheme="minorHAnsi"/>
        </w:rPr>
        <w:t xml:space="preserve">e Chicago area (MAP), characterized </w:t>
      </w:r>
      <w:r w:rsidR="00683E7C">
        <w:rPr>
          <w:rFonts w:cstheme="minorHAnsi"/>
        </w:rPr>
        <w:t>as</w:t>
      </w:r>
      <w:r w:rsidRPr="002D0304">
        <w:rPr>
          <w:rFonts w:cstheme="minorHAnsi"/>
        </w:rPr>
        <w:t xml:space="preserve"> LOAD, elderly control, </w:t>
      </w:r>
      <w:r w:rsidR="00990499">
        <w:rPr>
          <w:rFonts w:cstheme="minorHAnsi"/>
        </w:rPr>
        <w:t>and other</w:t>
      </w:r>
      <w:r w:rsidR="00981A54">
        <w:rPr>
          <w:rFonts w:cstheme="minorHAnsi"/>
        </w:rPr>
        <w:t xml:space="preserve"> </w:t>
      </w:r>
      <w:r w:rsidR="00683E7C">
        <w:rPr>
          <w:rFonts w:cstheme="minorHAnsi"/>
        </w:rPr>
        <w:t xml:space="preserve">dementia </w:t>
      </w:r>
      <w:r w:rsidR="00136F9A">
        <w:rPr>
          <w:rFonts w:cstheme="minorHAnsi"/>
        </w:rPr>
        <w:fldChar w:fldCharType="begin" w:fldLock="1"/>
      </w:r>
      <w:r w:rsidR="00FE4D97">
        <w:rPr>
          <w:rFonts w:cstheme="minorHAnsi"/>
        </w:rPr>
        <w:instrText>ADDIN CSL_CITATION {"citationItems":[{"id":"ITEM-1","itemData":{"DOI":"10.1038/sdata.2018.142","ISSN":"20524463","PMID":"30084846","abstract":"We initiated the systematic profiling of the dorsolateral prefrontal cortex obtained from a subset of autopsied individuals enrolled in the Religious Orders Study (ROS) or the Rush Memory and Aging Project (MAP), which are jointly designed prospective studies of aging and dementia with detailed, longitudinal cognitive phenotyping during life and a quantitative, structured neuropathologic examination after death. They include over 3,322 subjects. Here, we outline the first generation of data including genome-wide genotypes (n = 2,090), whole genome sequencing (n = 1,179), DNA methylation (n = 740), chromatin immunoprecipitation with sequencing using an anti-Histone 3 Lysine 9 acetylation (H3K9Ac) antibody (n = 712), RNA sequencing (n = 638), and miRNA profile (n = 702). Generation of other omic data including ATACseq, proteomic and metabolomics profiles is ongoing. Thanks to its prospective design and recruitment of older, non-demented individuals, these data can be repurposed to investigate a large number of syndromic and quantitative neuroscience phenotypes. The many subjects that are cognitively non-impaired at death also offer insights into the biology of the human brain in older non-impaired individuals.","author":[{"dropping-particle":"","family":"Jager","given":"Philip L.","non-dropping-particle":"De","parse-names":false,"suffix":""},{"dropping-particle":"","family":"Ma","given":"Yiyi","non-dropping-particle":"","parse-names":false,"suffix":""},{"dropping-particle":"","family":"McCabe","given":"Cristin","non-dropping-particle":"","parse-names":false,"suffix":""},{"dropping-particle":"","family":"Xu","given":"Jishu","non-dropping-particle":"","parse-names":false,"suffix":""},{"dropping-particle":"","family":"Vardarajan","given":"Badri N.","non-dropping-particle":"","parse-names":false,"suffix":""},{"dropping-particle":"","family":"Felsky","given":"Daniel","non-dropping-particle":"","parse-names":false,"suffix":""},{"dropping-particle":"","family":"Klein","given":"Hans Ulrich","non-dropping-particle":"","parse-names":false,"suffix":""},{"dropping-particle":"","family":"White","given":"Charles C.","non-dropping-particle":"","parse-names":false,"suffix":""},{"dropping-particle":"","family":"Peters","given":"Mette A.","non-dropping-particle":"","parse-names":false,"suffix":""},{"dropping-particle":"","family":"Lodgson","given":"Ben","non-dropping-particle":"","parse-names":false,"suffix":""},{"dropping-particle":"","family":"Nejad","given":"Parham","non-dropping-particle":"","parse-names":false,"suffix":""},{"dropping-particle":"","family":"Tang","given":"Anna","non-dropping-particle":"","parse-names":false,"suffix":""},{"dropping-particle":"","family":"Mangravite","given":"Lara M.","non-dropping-particle":"","parse-names":false,"suffix":""},{"dropping-particle":"","family":"Yu","given":"Lei","non-dropping-particle":"","parse-names":false,"suffix":""},{"dropping-particle":"","family":"Gaiteri","given":"Chris","non-dropping-particle":"","parse-names":false,"suffix":""},{"dropping-particle":"","family":"Mostafavi","given":"Sara","non-dropping-particle":"","parse-names":false,"suffix":""},{"dropping-particle":"","family":"Schneider","given":"Julie A.","non-dropping-particle":"","parse-names":false,"suffix":""},{"dropping-particle":"","family":"Bennett","given":"David A.","non-dropping-particle":"","parse-names":false,"suffix":""}],"container-title":"Scientific Data","id":"ITEM-1","issue":"1","issued":{"date-parts":[["2018","8","7"]]},"page":"1-13","publisher":"Nature Publishing Groups","title":"Data descriptor: A multi-omic atlas of the human frontal cortex for aging and Alzheimer’s disease research","type":"article-journal","volume":"5"},"uris":["http://www.mendeley.com/documents/?uuid=e94e60b0-9a32-3ac5-9ded-c6051b68dbd6"]}],"mendeley":{"formattedCitation":"[12]","plainTextFormattedCitation":"[12]","previouslyFormattedCitation":"[12]"},"properties":{"noteIndex":0},"schema":"https://github.com/citation-style-language/schema/raw/master/csl-citation.json"}</w:instrText>
      </w:r>
      <w:r w:rsidR="00136F9A">
        <w:rPr>
          <w:rFonts w:cstheme="minorHAnsi"/>
        </w:rPr>
        <w:fldChar w:fldCharType="separate"/>
      </w:r>
      <w:r w:rsidR="00FE4D97" w:rsidRPr="00FE4D97">
        <w:rPr>
          <w:rFonts w:cstheme="minorHAnsi"/>
          <w:noProof/>
        </w:rPr>
        <w:t>[12]</w:t>
      </w:r>
      <w:r w:rsidR="00136F9A">
        <w:rPr>
          <w:rFonts w:cstheme="minorHAnsi"/>
        </w:rPr>
        <w:fldChar w:fldCharType="end"/>
      </w:r>
      <w:r w:rsidRPr="002D0304">
        <w:rPr>
          <w:rFonts w:cstheme="minorHAnsi"/>
        </w:rPr>
        <w:t xml:space="preserve">. </w:t>
      </w:r>
      <w:r w:rsidR="00ED3318">
        <w:rPr>
          <w:rFonts w:cstheme="minorHAnsi"/>
        </w:rPr>
        <w:t>See Table S1 for a</w:t>
      </w:r>
      <w:r w:rsidRPr="002D0304">
        <w:rPr>
          <w:rFonts w:cstheme="minorHAnsi"/>
        </w:rPr>
        <w:t xml:space="preserve"> summary </w:t>
      </w:r>
      <w:r w:rsidR="00990499">
        <w:rPr>
          <w:rFonts w:cstheme="minorHAnsi"/>
        </w:rPr>
        <w:t>of samples by sex and diagnosis</w:t>
      </w:r>
      <w:r w:rsidR="00ED3318">
        <w:rPr>
          <w:rFonts w:cstheme="minorHAnsi"/>
        </w:rPr>
        <w:t xml:space="preserve">, and Table S2 for Metadata. </w:t>
      </w:r>
      <w:r w:rsidRPr="002D0304">
        <w:rPr>
          <w:rFonts w:cstheme="minorHAnsi"/>
        </w:rPr>
        <w:t>Sex, age of death, and batch were used as covariates for normalization</w:t>
      </w:r>
      <w:r w:rsidR="00990499">
        <w:rPr>
          <w:rFonts w:cstheme="minorHAnsi"/>
        </w:rPr>
        <w:t xml:space="preserve"> </w:t>
      </w:r>
      <w:r w:rsidR="00CD4C95">
        <w:rPr>
          <w:rFonts w:cstheme="minorHAnsi"/>
        </w:rPr>
        <w:t>of RNA-</w:t>
      </w:r>
      <w:proofErr w:type="spellStart"/>
      <w:r w:rsidR="00CD4C95">
        <w:rPr>
          <w:rFonts w:cstheme="minorHAnsi"/>
        </w:rPr>
        <w:t>seq</w:t>
      </w:r>
      <w:proofErr w:type="spellEnd"/>
      <w:r w:rsidR="00CD4C95">
        <w:rPr>
          <w:rFonts w:cstheme="minorHAnsi"/>
        </w:rPr>
        <w:t xml:space="preserve"> data, starting with log-transformed CPM </w:t>
      </w:r>
      <w:r w:rsidR="00990499">
        <w:rPr>
          <w:rFonts w:cstheme="minorHAnsi"/>
        </w:rPr>
        <w:t>(</w:t>
      </w:r>
      <w:r w:rsidR="00CD4C95">
        <w:rPr>
          <w:rFonts w:cstheme="minorHAnsi"/>
        </w:rPr>
        <w:t xml:space="preserve">see </w:t>
      </w:r>
      <w:hyperlink r:id="rId11" w:anchor="!Synapse:syn8456629" w:history="1">
        <w:r w:rsidR="00CD4C95" w:rsidRPr="00D23A9D">
          <w:rPr>
            <w:rStyle w:val="Hyperlink"/>
          </w:rPr>
          <w:t>syn8456629</w:t>
        </w:r>
      </w:hyperlink>
      <w:r w:rsidR="00CD4C95">
        <w:t xml:space="preserve"> </w:t>
      </w:r>
      <w:r w:rsidR="00CD4C95">
        <w:rPr>
          <w:rFonts w:cstheme="minorHAnsi"/>
        </w:rPr>
        <w:t>for details</w:t>
      </w:r>
      <w:r w:rsidR="00990499">
        <w:rPr>
          <w:rFonts w:cstheme="minorHAnsi"/>
        </w:rPr>
        <w:t>)</w:t>
      </w:r>
      <w:r w:rsidRPr="002D0304">
        <w:rPr>
          <w:rFonts w:cstheme="minorHAnsi"/>
        </w:rPr>
        <w:t>.</w:t>
      </w:r>
      <w:r w:rsidR="00CD4C95">
        <w:rPr>
          <w:rFonts w:cstheme="minorHAnsi"/>
        </w:rPr>
        <w:t xml:space="preserve"> For comparison, we obtained subtype specificity for each sample and co-expression modules and submodules generated by </w:t>
      </w:r>
      <w:r w:rsidR="007414B5">
        <w:rPr>
          <w:rFonts w:cstheme="minorHAnsi"/>
        </w:rPr>
        <w:fldChar w:fldCharType="begin" w:fldLock="1"/>
      </w:r>
      <w:r w:rsidR="00FE4D97">
        <w:rPr>
          <w:rFonts w:cstheme="minorHAnsi"/>
        </w:rPr>
        <w:instrText>ADDIN CSL_CITATION {"citationItems":[{"id":"ITEM-1","itemData":{"DOI":"10.1101/763516","abstract":"Late-Onset Alzheimer’s disease (LOAD) is a common, complex genetic disorder well-known for its heterogeneous pathology. The genetic heterogeneity underlying common complex diseases poses a major challenge for targeted therapies and the identification of novel disease-associated variants. Case-control approaches are often limited to examining a specific outcome in a group of heterogenous patients with different clinical characteristics. Here, we developed a novel approach to define relevant transcriptomic endophenotypes and stratify decedents based on molecular profiles in three independent human LOAD cohorts. By integrating post-mortem brain gene co-expression data from 2114 human samples with LOAD, we developed a novel quantitative, composite phenotype that can better account for the heterogeneity in genetic architecture underlying the disease. We used iterative weighted gene co-expression network analysis (WGCNA) analysis to reduce data dimensionality and to isolate gene sets that are highly co-expressed within disease subtypes and represent specific molecular pathways. We then performed single variant association testing using whole genome-sequencing data for the novel composite phenotype in order to identify genetic loci that contribute to disease heterogeneity. Distinct LOAD subtypes were identified for all three study cohorts (two in ROSMAP, three in Mayo Clinic, two in Mount Sinai Brain Bank). Single variant association analysis identified a genome-wide significant variant in TMEM106B (p-value &lt; 5×10−8, rs1990620G) in the ROSMAP cohort that confers protection from the inflammatory LOAD subtype. Taken together, our novel approach can be used to stratify LOAD into distinct molecular subtypes based on affected disease pathways.","author":[{"dropping-particle":"","family":"Milind","given":"Nikhil","non-dropping-particle":"","parse-names":false,"suffix":""},{"dropping-particle":"","family":"Preuss","given":"Christoph","non-dropping-particle":"","parse-names":false,"suffix":""},{"dropping-particle":"","family":"Haber","given":"Annat","non-dropping-particle":"","parse-names":false,"suffix":""},{"dropping-particle":"","family":"Ananda","given":"Guru","non-dropping-particle":"","parse-names":false,"suffix":""},{"dropping-particle":"","family":"Mukherjee","given":"Shubhabrata","non-dropping-particle":"","parse-names":false,"suffix":""},{"dropping-particle":"","family":"John","given":"Cai","non-dropping-particle":"","parse-names":false,"suffix":""},{"dropping-particle":"","family":"Shapley","given":"Sarah","non-dropping-particle":"","parse-names":false,"suffix":""},{"dropping-particle":"","family":"Tyler","given":"Anna L","non-dropping-particle":"","parse-names":false,"suffix":""},{"dropping-particle":"","family":"Logsdon","given":"Benjamin A","non-dropping-particle":"","parse-names":false,"suffix":""},{"dropping-particle":"","family":"Crane","given":"Paul K","non-dropping-particle":"","parse-names":false,"suffix":""},{"dropping-particle":"","family":"Carter","given":"Gregory W","non-dropping-particle":"","parse-names":false,"suffix":""}],"container-title":"bioRxiv","id":"ITEM-1","issued":{"date-parts":[["2019","9","11"]]},"page":"51404","publisher":"Cold Spring Harbor Laboratory","title":"Transcriptomic Stratification of Late-Onset Alzheimer's Cases Reveals Novel Genetic Modifiers of Disease Pathology","type":"article-journal"},"uris":["http://www.mendeley.com/documents/?uuid=bbce8a1f-d765-3511-a62a-979b59b3e5f5"]}],"mendeley":{"formattedCitation":"[5]","plainTextFormattedCitation":"[5]","previouslyFormattedCitation":"[5]"},"properties":{"noteIndex":0},"schema":"https://github.com/citation-style-language/schema/raw/master/csl-citation.json"}</w:instrText>
      </w:r>
      <w:r w:rsidR="007414B5">
        <w:rPr>
          <w:rFonts w:cstheme="minorHAnsi"/>
        </w:rPr>
        <w:fldChar w:fldCharType="separate"/>
      </w:r>
      <w:r w:rsidR="00FE4D97" w:rsidRPr="00FE4D97">
        <w:rPr>
          <w:rFonts w:cstheme="minorHAnsi"/>
          <w:noProof/>
        </w:rPr>
        <w:t>[5]</w:t>
      </w:r>
      <w:r w:rsidR="007414B5">
        <w:rPr>
          <w:rFonts w:cstheme="minorHAnsi"/>
        </w:rPr>
        <w:fldChar w:fldCharType="end"/>
      </w:r>
      <w:r w:rsidR="00CD4C95">
        <w:rPr>
          <w:rFonts w:cstheme="minorHAnsi"/>
        </w:rPr>
        <w:t xml:space="preserve"> for the same cohort, based on the same RNA-</w:t>
      </w:r>
      <w:proofErr w:type="spellStart"/>
      <w:r w:rsidR="00CD4C95">
        <w:rPr>
          <w:rFonts w:cstheme="minorHAnsi"/>
        </w:rPr>
        <w:t>seq</w:t>
      </w:r>
      <w:proofErr w:type="spellEnd"/>
      <w:r w:rsidR="00CD4C95">
        <w:rPr>
          <w:rFonts w:cstheme="minorHAnsi"/>
        </w:rPr>
        <w:t xml:space="preserve"> data. Subtyping </w:t>
      </w:r>
      <w:r w:rsidR="008E5D10">
        <w:rPr>
          <w:rFonts w:cstheme="minorHAnsi"/>
        </w:rPr>
        <w:t>in</w:t>
      </w:r>
      <w:r w:rsidR="00CD4C95">
        <w:rPr>
          <w:rFonts w:cstheme="minorHAnsi"/>
        </w:rPr>
        <w:t xml:space="preserve"> </w:t>
      </w:r>
      <w:r w:rsidR="008E5D10">
        <w:rPr>
          <w:rFonts w:cstheme="minorHAnsi"/>
        </w:rPr>
        <w:t>that</w:t>
      </w:r>
      <w:r w:rsidR="00CD4C95">
        <w:rPr>
          <w:rFonts w:cstheme="minorHAnsi"/>
        </w:rPr>
        <w:t xml:space="preserve"> study was generated using k-means clustering and co-expression modules where generated using iterative WGCNA</w:t>
      </w:r>
      <w:r w:rsidR="007414B5">
        <w:rPr>
          <w:rFonts w:cstheme="minorHAnsi"/>
        </w:rPr>
        <w:t xml:space="preserve"> based on modules from </w:t>
      </w:r>
      <w:r w:rsidR="007414B5">
        <w:rPr>
          <w:rFonts w:cstheme="minorHAnsi"/>
        </w:rPr>
        <w:fldChar w:fldCharType="begin" w:fldLock="1"/>
      </w:r>
      <w:r w:rsidR="00FE4D97">
        <w:rPr>
          <w:rFonts w:cstheme="minorHAnsi"/>
        </w:rPr>
        <w:instrText>ADDIN CSL_CITATION {"citationItems":[{"id":"ITEM-1","itemData":{"DOI":"10.1101/510420","abstract":"Alzheimer’s disease (AD) is a complex and heterogenous brain disease that affects multiple inter-related biological processes. This complexity contributes, in part, to existing difficulties in the identification of successful disease-modifying therapeutic strategies. To address this, systems approaches are being used to characterize AD-related disruption in molecular state. To evaluate the consistency across these molecular models, a consensus atlas of the human brain transcriptome was developed through coexpression meta-analysis across the AMP-AD consortium. Consensus analysis was performed across five coexpression methods used to analyze RNA-seq data collected from 2114 samples across 7 brain regions and 3 research studies. From this analysis, five consensus clusters were identified that described the major sources of AD-related alterations in transcriptional state that were consistent across studies, methods, and samples. AD genetic associations, previously studied AD-related biological processes, and AD targets under active investigation were enriched in only three of these five clusters. The remaining two clusters demonstrated strong heterogeneity between males and females in AD-related expression that was consistently observed across studies. AD transcriptional modules identified by systems analysis of individual AMP-AD teams were all represented in one of these five consensus clusters except ROS/MAP-identified Module 109, which was specific for genes that showed the strongest association with changes in AD-related gene expression across consensus clusters. The other two AMP-AD transcriptional analyses reported modules that were enriched in one of the two sex-specific Consensus Clusters. The fifth cluster has not been previously identified and was enriched for genes related to proteostasis. This study provides an atlas to map across biological inquiries of AD with the goal of supporting an expansion in AD target discovery efforts.","author":[{"dropping-particle":"","family":"Logsdon","given":"Benjamin A.","non-dropping-particle":"","parse-names":false,"suffix":""},{"dropping-particle":"","family":"Perumal","given":"Thanneer M.","non-dropping-particle":"","parse-names":false,"suffix":""},{"dropping-particle":"","family":"Swarup","given":"Vivek","non-dropping-particle":"","parse-names":false,"suffix":""},{"dropping-particle":"","family":"Wang","given":"Minghui","non-dropping-particle":"","parse-names":false,"suffix":""},{"dropping-particle":"","family":"Funk","given":"Cory","non-dropping-particle":"","parse-names":false,"suffix":""},{"dropping-particle":"","family":"Gaiteri","given":"Chris","non-dropping-particle":"","parse-names":false,"suffix":""},{"dropping-particle":"","family":"Allen","given":"Mariet","non-dropping-particle":"","parse-names":false,"suffix":""},{"dropping-particle":"","family":"Wang","given":"Xue","non-dropping-particle":"","parse-names":false,"suffix":""},{"dropping-particle":"","family":"Dammer","given":"Eric","non-dropping-particle":"","parse-names":false,"suffix":""},{"dropping-particle":"","family":"Srivastava","given":"Gyan","non-dropping-particle":"","parse-names":false,"suffix":""},{"dropping-particle":"","family":"Mukherjee","given":"Sumit","non-dropping-particle":"","parse-names":false,"suffix":""},{"dropping-particle":"","family":"Sieberts","given":"Solveig K.","non-dropping-particle":"","parse-names":false,"suffix":""},{"dropping-particle":"","family":"Omberg","given":"Larsson","non-dropping-particle":"","parse-names":false,"suffix":""},{"dropping-particle":"","family":"Dang","given":"Kristen D.","non-dropping-particle":"","parse-names":false,"suffix":""},{"dropping-particle":"","family":"Eddy","given":"James A.","non-dropping-particle":"","parse-names":false,"suffix":""},{"dropping-particle":"","family":"Snyder","given":"Phil","non-dropping-particle":"","parse-names":false,"suffix":""},{"dropping-particle":"","family":"Chae","given":"Yooree","non-dropping-particle":"","parse-names":false,"suffix":""},{"dropping-particle":"","family":"Amberkar","given":"Sandeep","non-dropping-particle":"","parse-names":false,"suffix":""},{"dropping-particle":"","family":"Wei","given":"Wenbin","non-dropping-particle":"","parse-names":false,"suffix":""},{"dropping-particle":"","family":"Hide","given":"Winston","non-dropping-particle":"","parse-names":false,"suffix":""},{"dropping-particle":"","family":"Preuss","given":"Christoph","non-dropping-particle":"","parse-names":false,"suffix":""},{"dropping-particle":"","family":"Ergun","given":"Ayla","non-dropping-particle":"","parse-names":false,"suffix":""},{"dropping-particle":"","family":"Ebert","given":"Phillip J","non-dropping-particle":"","parse-names":false,"suffix":""},{"dropping-particle":"","family":"Airey","given":"David C.","non-dropping-particle":"","parse-names":false,"suffix":""},{"dropping-particle":"","family":"Carter","given":"Gregory W.","non-dropping-particle":"","parse-names":false,"suffix":""},{"dropping-particle":"","family":"Mostafavi","given":"Sara","non-dropping-particle":"","parse-names":false,"suffix":""},{"dropping-particle":"","family":"Yu","given":"Lei","non-dropping-particle":"","parse-names":false,"suffix":""},{"dropping-particle":"","family":"Klein","given":"Hans-Ulrich","non-dropping-particle":"","parse-names":false,"suffix":""},{"dropping-particle":"","family":"Consortium","given":"the AMP-AD","non-dropping-particle":"","parse-names":false,"suffix":""},{"dropping-particle":"","family":"Collier","given":"David A.","non-dropping-particle":"","parse-names":false,"suffix":""},{"dropping-particle":"","family":"Golde","given":"Todd","non-dropping-particle":"","parse-names":false,"suffix":""},{"dropping-particle":"","family":"Levey","given":"Allan","non-dropping-particle":"","parse-names":false,"suffix":""},{"dropping-particle":"","family":"Bennett","given":"David A.","non-dropping-particle":"","parse-names":false,"suffix":""},{"dropping-particle":"","family":"Estrada","given":"Karol","non-dropping-particle":"","parse-names":false,"suffix":""},{"dropping-particle":"","family":"Decker","given":"Michael","non-dropping-particle":"","parse-names":false,"suffix":""},{"dropping-particle":"","family":"Liu","given":"Zhandong","non-dropping-particle":"","parse-names":false,"suffix":""},{"dropping-particle":"","family":"Shulman","given":"Joshua M.","non-dropping-particle":"","parse-names":false,"suffix":""},{"dropping-particle":"","family":"Zhang","given":"Bin","non-dropping-particle":"","parse-names":false,"suffix":""},{"dropping-particle":"","family":"Schadt","given":"Eric","non-dropping-particle":"","parse-names":false,"suffix":""},{"dropping-particle":"De","family":"Jager","given":"Phillip L.","non-dropping-particle":"","parse-names":false,"suffix":""},{"dropping-particle":"","family":"Price","given":"Nathan D.","non-dropping-particle":"","parse-names":false,"suffix":""},{"dropping-particle":"","family":"Ertekin-Taner","given":"Nilüfer","non-dropping-particle":"","parse-names":false,"suffix":""},{"dropping-particle":"","family":"Mangravite","given":"Lara M.","non-dropping-particle":"","parse-names":false,"suffix":""}],"container-title":"bioRxiv","id":"ITEM-1","issued":{"date-parts":[["2019","1","3"]]},"page":"510420","publisher":"Cold Spring Harbor Laboratory","title":"Meta-analysis of the human brain transcriptome identifies heterogeneity across human AD coexpression modules robust to sample collection and methodological approach","type":"article-journal"},"uris":["http://www.mendeley.com/documents/?uuid=e7b38e49-0299-341a-b720-fc80205c433c"]}],"mendeley":{"formattedCitation":"[11]","plainTextFormattedCitation":"[11]","previouslyFormattedCitation":"[11]"},"properties":{"noteIndex":0},"schema":"https://github.com/citation-style-language/schema/raw/master/csl-citation.json"}</w:instrText>
      </w:r>
      <w:r w:rsidR="007414B5">
        <w:rPr>
          <w:rFonts w:cstheme="minorHAnsi"/>
        </w:rPr>
        <w:fldChar w:fldCharType="separate"/>
      </w:r>
      <w:r w:rsidR="00FE4D97" w:rsidRPr="00FE4D97">
        <w:rPr>
          <w:rFonts w:cstheme="minorHAnsi"/>
          <w:noProof/>
        </w:rPr>
        <w:t>[11]</w:t>
      </w:r>
      <w:r w:rsidR="007414B5">
        <w:rPr>
          <w:rFonts w:cstheme="minorHAnsi"/>
        </w:rPr>
        <w:fldChar w:fldCharType="end"/>
      </w:r>
      <w:r w:rsidR="00CD4C95">
        <w:rPr>
          <w:rFonts w:cstheme="minorHAnsi"/>
        </w:rPr>
        <w:t>.</w:t>
      </w:r>
    </w:p>
    <w:p w14:paraId="1A7BE68D" w14:textId="15CBDB19" w:rsidR="006B68E2" w:rsidRPr="006B68E2" w:rsidRDefault="006B68E2" w:rsidP="002170C3">
      <w:pPr>
        <w:spacing w:after="120" w:line="360" w:lineRule="auto"/>
        <w:rPr>
          <w:b/>
          <w:bCs/>
          <w:color w:val="000000" w:themeColor="text1"/>
        </w:rPr>
      </w:pPr>
      <w:r w:rsidRPr="006B68E2">
        <w:rPr>
          <w:b/>
          <w:bCs/>
          <w:color w:val="000000" w:themeColor="text1"/>
        </w:rPr>
        <w:lastRenderedPageBreak/>
        <w:t>Archetype fitting</w:t>
      </w:r>
    </w:p>
    <w:p w14:paraId="50326883" w14:textId="49C0127D" w:rsidR="00791109" w:rsidRDefault="00844B37" w:rsidP="002170C3">
      <w:pPr>
        <w:spacing w:after="120" w:line="360" w:lineRule="auto"/>
      </w:pPr>
      <w:r>
        <w:t>We estimated t</w:t>
      </w:r>
      <w:r w:rsidR="006B68E2">
        <w:t xml:space="preserve">he optimal number of archetypes and their position in the gene expression space using Principal Convex Hull algorithm specifically designed for archetypal analysis by </w:t>
      </w:r>
      <w:r w:rsidR="002A2E49">
        <w:fldChar w:fldCharType="begin" w:fldLock="1"/>
      </w:r>
      <w:r w:rsidR="00FE4D97">
        <w:instrText>ADDIN CSL_CITATION {"citationItems":[{"id":"ITEM-1","itemData":{"DOI":"10.1016/J.NEUCOM.2011.06.033","ISSN":"0925-2312","abstract":"Archetypal analysis (aa) proposed by Cutler and Breiman (1994) [7] estimates the principal convex hull (pch) of a data set. As such aa favors features that constitute representative ‘corners’ of the data, i.e., distinct aspects or archetypes. We currently show that aa enjoys the interpretability of clustering – without being limited to hard assignment and the uniqueness of svd – without being limited to orthogonal representations. In order to do large scale aa, we derive an efficient algorithm based on projected gradient as well as an initialization procedure we denote FurthestSum that is inspired by the FurthestFirst approach widely used for k-means (Hochbaum and Shmoys, 1985 [14]). We generalize the aa procedure to kernel-aa in order to extract the principal convex hull in potential infinite Hilbert spaces and derive a relaxation of aa when the archetypes cannot be represented as convex combinations of the observed data. We further demonstrate that the aa model is relevant for feature extraction and dimensionality reduction for a large variety of machine learning problems taken from computer vision, neuroimaging, chemistry, text mining and collaborative filtering leading to highly interpretable representations of the dynamics in the data. Matlab code for the derived algorithms is available for download from www.mortenmorup.dk.","author":[{"dropping-particle":"","family":"Mørup","given":"Morten","non-dropping-particle":"","parse-names":false,"suffix":""},{"dropping-particle":"","family":"Hansen","given":"Lars Kai","non-dropping-particle":"","parse-names":false,"suffix":""}],"container-title":"Neurocomputing","id":"ITEM-1","issued":{"date-parts":[["2012","3","15"]]},"page":"54-63","publisher":"Elsevier","title":"Archetypal analysis for machine learning and data mining","type":"article-journal","volume":"80"},"uris":["http://www.mendeley.com/documents/?uuid=8f4984b1-b837-3a4a-b138-09a9053d9127"]}],"mendeley":{"formattedCitation":"[13]","plainTextFormattedCitation":"[13]","previouslyFormattedCitation":"[13]"},"properties":{"noteIndex":0},"schema":"https://github.com/citation-style-language/schema/raw/master/csl-citation.json"}</w:instrText>
      </w:r>
      <w:r w:rsidR="002A2E49">
        <w:fldChar w:fldCharType="separate"/>
      </w:r>
      <w:r w:rsidR="00FE4D97" w:rsidRPr="00FE4D97">
        <w:rPr>
          <w:noProof/>
        </w:rPr>
        <w:t>[13]</w:t>
      </w:r>
      <w:r w:rsidR="002A2E49">
        <w:fldChar w:fldCharType="end"/>
      </w:r>
      <w:r>
        <w:t xml:space="preserve">, as </w:t>
      </w:r>
      <w:r w:rsidR="006B68E2">
        <w:t xml:space="preserve">implemented in the R package </w:t>
      </w:r>
      <w:proofErr w:type="spellStart"/>
      <w:r w:rsidR="006B68E2">
        <w:t>paretoTI</w:t>
      </w:r>
      <w:proofErr w:type="spellEnd"/>
      <w:r w:rsidR="006B68E2">
        <w:t xml:space="preserve"> </w:t>
      </w:r>
      <w:r w:rsidR="002A2E49">
        <w:fldChar w:fldCharType="begin" w:fldLock="1"/>
      </w:r>
      <w:r w:rsidR="00FE4D97">
        <w:instrText>ADDIN CSL_CITATION {"citationItems":[{"id":"ITEM-1","itemData":{"author":[{"dropping-particle":"","family":"Kleshchevnikov","given":"Vitalii","non-dropping-particle":"","parse-names":false,"suffix":""}],"id":"ITEM-1","issued":{"date-parts":[["2019"]]},"number":"R package version 0.1.13","title":"ParetoTI: R toolbox for Archetypal Analysis and Pareto Task Inference on single cell data","type":"article"},"uris":["http://www.mendeley.com/documents/?uuid=46511833-53f9-4c6f-8782-5732196981d9"]}],"mendeley":{"formattedCitation":"[14]","plainTextFormattedCitation":"[14]","previouslyFormattedCitation":"[14]"},"properties":{"noteIndex":0},"schema":"https://github.com/citation-style-language/schema/raw/master/csl-citation.json"}</w:instrText>
      </w:r>
      <w:r w:rsidR="002A2E49">
        <w:fldChar w:fldCharType="separate"/>
      </w:r>
      <w:r w:rsidR="00FE4D97" w:rsidRPr="00FE4D97">
        <w:rPr>
          <w:noProof/>
        </w:rPr>
        <w:t>[14]</w:t>
      </w:r>
      <w:r w:rsidR="002A2E49">
        <w:fldChar w:fldCharType="end"/>
      </w:r>
      <w:r w:rsidR="006B68E2">
        <w:t xml:space="preserve">. Statistical significance of the goodness of fit of different polytopes is determined in this package by permutations of the original data that disrupt relationships between </w:t>
      </w:r>
      <w:r>
        <w:t>variables</w:t>
      </w:r>
      <w:r w:rsidR="006B68E2">
        <w:t xml:space="preserve"> but </w:t>
      </w:r>
      <w:r>
        <w:t xml:space="preserve">maintains their specific distributions. Bootstrapping is implemented to determine variation around the inferred position of each vertex (i.e., archetype), providing another measure for how well different polytopes fit the data. We tested polytopes ranging from 2 to 6 vertices. </w:t>
      </w:r>
    </w:p>
    <w:p w14:paraId="48A10F7F" w14:textId="32EE7282" w:rsidR="006B68E2" w:rsidRDefault="003D240B" w:rsidP="002170C3">
      <w:pPr>
        <w:spacing w:after="120" w:line="360" w:lineRule="auto"/>
      </w:pPr>
      <w:r>
        <w:t>We</w:t>
      </w:r>
      <w:r w:rsidR="00DB5F70">
        <w:t xml:space="preserve"> used only samples identified as AD patients</w:t>
      </w:r>
      <w:r>
        <w:t xml:space="preserve"> for the fitting process</w:t>
      </w:r>
      <w:r w:rsidR="00DB5F70">
        <w:t xml:space="preserve">. However, all </w:t>
      </w:r>
      <w:r>
        <w:t>downstream</w:t>
      </w:r>
      <w:r w:rsidR="00DB5F70">
        <w:t xml:space="preserve"> analyses included control and </w:t>
      </w:r>
      <w:r>
        <w:t>“</w:t>
      </w:r>
      <w:r w:rsidR="00DB5F70">
        <w:t>other</w:t>
      </w:r>
      <w:r>
        <w:t>”</w:t>
      </w:r>
      <w:r w:rsidR="00DB5F70">
        <w:t xml:space="preserve"> </w:t>
      </w:r>
      <w:r>
        <w:t>samples</w:t>
      </w:r>
      <w:r w:rsidR="00DB5F70">
        <w:t xml:space="preserve"> as well.</w:t>
      </w:r>
      <w:r>
        <w:t xml:space="preserve"> Principal component analysis indicated that the first 20 PC’s were significantly higher than expected by chance using a broken stick model, explaining altogether 17% of the variance in the original data (Fig. S1). Fitting archetypes to 400 PC’s (80% of the variance) yielded essentially the same results (Fig. S2). The final fitting process and all further analyses were therefore based on the first 20 PC’s.</w:t>
      </w:r>
    </w:p>
    <w:p w14:paraId="256BAE10" w14:textId="6E701DB8" w:rsidR="006919AD" w:rsidRPr="006919AD" w:rsidRDefault="006919AD" w:rsidP="002170C3">
      <w:pPr>
        <w:spacing w:after="120" w:line="360" w:lineRule="auto"/>
        <w:rPr>
          <w:b/>
          <w:bCs/>
        </w:rPr>
      </w:pPr>
      <w:r w:rsidRPr="006919AD">
        <w:rPr>
          <w:b/>
          <w:bCs/>
        </w:rPr>
        <w:t xml:space="preserve">Gene </w:t>
      </w:r>
      <w:r>
        <w:rPr>
          <w:b/>
          <w:bCs/>
        </w:rPr>
        <w:t>E</w:t>
      </w:r>
      <w:r w:rsidRPr="006919AD">
        <w:rPr>
          <w:b/>
          <w:bCs/>
        </w:rPr>
        <w:t xml:space="preserve">xpression </w:t>
      </w:r>
      <w:r w:rsidR="00F85A17">
        <w:rPr>
          <w:b/>
          <w:bCs/>
        </w:rPr>
        <w:t>A</w:t>
      </w:r>
      <w:r w:rsidRPr="006919AD">
        <w:rPr>
          <w:b/>
          <w:bCs/>
        </w:rPr>
        <w:t xml:space="preserve">nnotation of </w:t>
      </w:r>
      <w:r w:rsidR="00F85A17">
        <w:rPr>
          <w:b/>
          <w:bCs/>
        </w:rPr>
        <w:t>A</w:t>
      </w:r>
      <w:r w:rsidRPr="006919AD">
        <w:rPr>
          <w:b/>
          <w:bCs/>
        </w:rPr>
        <w:t>rchetypes</w:t>
      </w:r>
    </w:p>
    <w:p w14:paraId="47B78782" w14:textId="281F9AA8" w:rsidR="00981A54" w:rsidRPr="002170C3" w:rsidRDefault="00844B37" w:rsidP="002170C3">
      <w:pPr>
        <w:spacing w:after="120" w:line="360" w:lineRule="auto"/>
      </w:pPr>
      <w:r>
        <w:t xml:space="preserve">We reconstructed gene expression profiles for each archetype by finding the genes whose expression </w:t>
      </w:r>
      <w:r w:rsidR="00DB5F70">
        <w:t xml:space="preserve">decreases significantly with distance from that archetype, using Wilcox test, also implemented in the R package </w:t>
      </w:r>
      <w:proofErr w:type="spellStart"/>
      <w:r w:rsidR="00DB5F70">
        <w:t>ParetoTI</w:t>
      </w:r>
      <w:proofErr w:type="spellEnd"/>
      <w:r w:rsidR="00DB5F70">
        <w:t xml:space="preserve">. We analyzed the resulting gene sets for their GO terms enrichment using the R package </w:t>
      </w:r>
      <w:proofErr w:type="spellStart"/>
      <w:r w:rsidR="00DB5F70">
        <w:t>clusterProfiler</w:t>
      </w:r>
      <w:proofErr w:type="spellEnd"/>
      <w:r w:rsidR="00DB5F70">
        <w:t xml:space="preserve"> </w:t>
      </w:r>
      <w:r w:rsidR="00AA530B">
        <w:fldChar w:fldCharType="begin" w:fldLock="1"/>
      </w:r>
      <w:r w:rsidR="00FE4D97">
        <w:instrText>ADDIN CSL_CITATION {"citationItems":[{"id":"ITEM-1","itemData":{"DOI":"10.1089/omi.2011.0118","PMID":"22455463","author":[{"dropping-particle":"","family":"Guangchuang","given":"Yu","non-dropping-particle":"","parse-names":false,"suffix":""},{"dropping-particle":"","family":"Wang","given":"Li-Gen","non-dropping-particle":"","parse-names":false,"suffix":""},{"dropping-particle":"","family":"Han","given":"Yanyan","non-dropping-particle":"","parse-names":false,"suffix":""},{"dropping-particle":"","family":"He","given":"Qing-Yu","non-dropping-particle":"","parse-names":false,"suffix":""}],"container-title":"OMICS: A Journal of Integrative Biology","id":"ITEM-1","issue":"5","issued":{"date-parts":[["2012"]]},"page":"284-287","title":"clusterProfiler: an R package for comparing biological themes among gene clusters","type":"article-journal","volume":"16"},"uris":["http://www.mendeley.com/documents/?uuid=9f069ac0-f6d9-43ce-84dd-bb3129601eb5"]}],"mendeley":{"formattedCitation":"[15]","plainTextFormattedCitation":"[15]","previouslyFormattedCitation":"[15]"},"properties":{"noteIndex":0},"schema":"https://github.com/citation-style-language/schema/raw/master/csl-citation.json"}</w:instrText>
      </w:r>
      <w:r w:rsidR="00AA530B">
        <w:fldChar w:fldCharType="separate"/>
      </w:r>
      <w:r w:rsidR="00FE4D97" w:rsidRPr="00FE4D97">
        <w:rPr>
          <w:noProof/>
        </w:rPr>
        <w:t>[15]</w:t>
      </w:r>
      <w:r w:rsidR="00AA530B">
        <w:fldChar w:fldCharType="end"/>
      </w:r>
      <w:r w:rsidR="00733C85">
        <w:t>.</w:t>
      </w:r>
      <w:r w:rsidR="0022556A">
        <w:t xml:space="preserve"> In addition, we tested the genes sets for their enrichment in cell-specific markers as provided by </w:t>
      </w:r>
      <w:r w:rsidR="00FE4D97">
        <w:fldChar w:fldCharType="begin" w:fldLock="1"/>
      </w:r>
      <w:r w:rsidR="00FE4D97">
        <w:instrText>ADDIN CSL_CITATION {"citationItems":[{"id":"ITEM-1","itemData":{"DOI":"10.1038/s41598-018-27293-5","ISSN":"2045-2322","abstract":"Elucidating brain cell type specific gene expression patterns is critical towards a better understanding of how cell-cell communications may influence brain functions and dysfunctions. We set out to compare and contrast five human and murine cell type-specific transcriptome-wide RNA expression data sets that were generated within the past several years. We defined three measures of brain cell type-relative expression including specificity, enrichment, and absolute expression and identified corresponding consensus brain cell “signatures,” which were well conserved across data sets. We validated that the relative expression of top cell type markers are associated with proxies for cell type proportions in bulk RNA expression data from postmortem human brain samples. We further validated novel marker genes using an orthogonal ATAC-seq dataset. We performed multiscale coexpression network analysis of the single cell data sets and identified robust cell-specific gene modules. To facilitate the use of the cell type-specific genes for cell type proportion estimation and deconvolution from bulk brain gene expression data, we developed an R package, BRETIGEA. In summary, we identified a set of novel brain cell consensus signatures and robust networks from the integration of multiple datasets and therefore transcend limitations related to technical issues characteristic of each individual study.","author":[{"dropping-particle":"","family":"McKenzie","given":"Andrew T.","non-dropping-particle":"","parse-names":false,"suffix":""},{"dropping-particle":"","family":"Wang","given":"Minghui","non-dropping-particle":"","parse-names":false,"suffix":""},{"dropping-particle":"","family":"Hauberg","given":"Mads E.","non-dropping-particle":"","parse-names":false,"suffix":""},{"dropping-particle":"","family":"Fullard","given":"John F.","non-dropping-particle":"","parse-names":false,"suffix":""},{"dropping-particle":"","family":"Kozlenkov","given":"Alexey","non-dropping-particle":"","parse-names":false,"suffix":""},{"dropping-particle":"","family":"Keenan","given":"Alexandra","non-dropping-particle":"","parse-names":false,"suffix":""},{"dropping-particle":"","family":"Hurd","given":"Yasmin L.","non-dropping-particle":"","parse-names":false,"suffix":""},{"dropping-particle":"","family":"Dracheva","given":"Stella","non-dropping-particle":"","parse-names":false,"suffix":""},{"dropping-particle":"","family":"Casaccia","given":"Patrizia","non-dropping-particle":"","parse-names":false,"suffix":""},{"dropping-particle":"","family":"Roussos","given":"Panos","non-dropping-particle":"","parse-names":false,"suffix":""},{"dropping-particle":"","family":"Zhang","given":"Bin","non-dropping-particle":"","parse-names":false,"suffix":""}],"container-title":"Scientific Reports","id":"ITEM-1","issue":"1","issued":{"date-parts":[["2018","12","11"]]},"page":"8868","publisher":"Nature Publishing Group","title":"Brain Cell Type Specific Gene Expression and Co-expression Network Architectures","type":"article-journal","volume":"8"},"uris":["http://www.mendeley.com/documents/?uuid=9fcc5e9a-6aa9-3258-8ac4-cb38548e361a"]}],"mendeley":{"formattedCitation":"[16]","plainTextFormattedCitation":"[16]","previouslyFormattedCitation":"[16]"},"properties":{"noteIndex":0},"schema":"https://github.com/citation-style-language/schema/raw/master/csl-citation.json"}</w:instrText>
      </w:r>
      <w:r w:rsidR="00FE4D97">
        <w:fldChar w:fldCharType="separate"/>
      </w:r>
      <w:r w:rsidR="00FE4D97" w:rsidRPr="00FE4D97">
        <w:rPr>
          <w:noProof/>
        </w:rPr>
        <w:t>[16]</w:t>
      </w:r>
      <w:r w:rsidR="00FE4D97">
        <w:fldChar w:fldCharType="end"/>
      </w:r>
      <w:r w:rsidR="0022556A">
        <w:t xml:space="preserve">. The cell-specificity for a given gene was calculated as the minimum log fold change </w:t>
      </w:r>
      <w:r w:rsidR="0098512B">
        <w:t>of</w:t>
      </w:r>
      <w:r w:rsidR="0022556A">
        <w:t xml:space="preserve"> </w:t>
      </w:r>
      <w:r w:rsidR="0098512B">
        <w:t>that gene’s expression level in a given cell type compared with its expression level in all other cell types.</w:t>
      </w:r>
    </w:p>
    <w:p w14:paraId="72733248" w14:textId="1DAEE177" w:rsidR="00F85A17" w:rsidRDefault="00F85A17" w:rsidP="002170C3">
      <w:pPr>
        <w:spacing w:after="120" w:line="360" w:lineRule="auto"/>
      </w:pPr>
      <w:r w:rsidRPr="005E1B4A">
        <w:rPr>
          <w:b/>
          <w:bCs/>
        </w:rPr>
        <w:t>Single-Variant Mapping of Archetype Specificity</w:t>
      </w:r>
    </w:p>
    <w:p w14:paraId="26DD08D0" w14:textId="177C954B" w:rsidR="00F85A17" w:rsidRDefault="00F85A17" w:rsidP="002170C3">
      <w:pPr>
        <w:spacing w:after="120" w:line="360" w:lineRule="auto"/>
        <w:rPr>
          <w:rFonts w:cstheme="minorHAnsi"/>
        </w:rPr>
      </w:pPr>
      <w:r w:rsidRPr="00C35C36">
        <w:rPr>
          <w:rFonts w:cstheme="minorHAnsi"/>
        </w:rPr>
        <w:t>We generated 4 new phenotypes for each patient based on the archetype analysis</w:t>
      </w:r>
      <w:r>
        <w:rPr>
          <w:rFonts w:cstheme="minorHAnsi"/>
        </w:rPr>
        <w:t>:</w:t>
      </w:r>
      <w:r w:rsidRPr="00C35C36">
        <w:rPr>
          <w:rFonts w:cstheme="minorHAnsi"/>
        </w:rPr>
        <w:t xml:space="preserve"> </w:t>
      </w:r>
      <w:r>
        <w:rPr>
          <w:rFonts w:cstheme="minorHAnsi"/>
        </w:rPr>
        <w:t>three of the phenotypes were calculated as the</w:t>
      </w:r>
      <w:r w:rsidRPr="00C35C36">
        <w:rPr>
          <w:rFonts w:cstheme="minorHAnsi"/>
        </w:rPr>
        <w:t xml:space="preserve"> </w:t>
      </w:r>
      <w:r>
        <w:rPr>
          <w:rFonts w:cstheme="minorHAnsi"/>
        </w:rPr>
        <w:t xml:space="preserve">Euclidean </w:t>
      </w:r>
      <w:r w:rsidRPr="00C35C36">
        <w:rPr>
          <w:rFonts w:cstheme="minorHAnsi"/>
        </w:rPr>
        <w:t xml:space="preserve">distance </w:t>
      </w:r>
      <w:r>
        <w:rPr>
          <w:rFonts w:cstheme="minorHAnsi"/>
        </w:rPr>
        <w:t xml:space="preserve">of each patient </w:t>
      </w:r>
      <w:r w:rsidRPr="00C35C36">
        <w:rPr>
          <w:rFonts w:cstheme="minorHAnsi"/>
        </w:rPr>
        <w:t xml:space="preserve">from each of the archetype </w:t>
      </w:r>
      <w:r>
        <w:rPr>
          <w:rFonts w:cstheme="minorHAnsi"/>
        </w:rPr>
        <w:t xml:space="preserve">in the reduced PC space of the gene expression data; the forth </w:t>
      </w:r>
      <w:r w:rsidR="009D4FBC">
        <w:rPr>
          <w:rFonts w:cstheme="minorHAnsi"/>
        </w:rPr>
        <w:t>phenotype was the categorical assignment of each sample</w:t>
      </w:r>
      <w:r w:rsidRPr="00C35C36">
        <w:rPr>
          <w:rFonts w:cstheme="minorHAnsi"/>
        </w:rPr>
        <w:t xml:space="preserve"> to the nearest archetype</w:t>
      </w:r>
      <w:r w:rsidR="009D4FBC">
        <w:rPr>
          <w:rFonts w:cstheme="minorHAnsi"/>
        </w:rPr>
        <w:t>.</w:t>
      </w:r>
    </w:p>
    <w:p w14:paraId="7D026E38" w14:textId="2A3D8582" w:rsidR="00AC5EBD" w:rsidRPr="00AC5EBD" w:rsidRDefault="009D4FBC" w:rsidP="002170C3">
      <w:pPr>
        <w:spacing w:after="120" w:line="360" w:lineRule="auto"/>
        <w:rPr>
          <w:rFonts w:cstheme="minorHAnsi"/>
        </w:rPr>
      </w:pPr>
      <w:r>
        <w:rPr>
          <w:rFonts w:cstheme="minorHAnsi"/>
        </w:rPr>
        <w:lastRenderedPageBreak/>
        <w:t xml:space="preserve">We </w:t>
      </w:r>
      <w:r w:rsidR="00F85A17" w:rsidRPr="00C35C36">
        <w:rPr>
          <w:rFonts w:cstheme="minorHAnsi"/>
        </w:rPr>
        <w:t xml:space="preserve">mapped each of </w:t>
      </w:r>
      <w:r>
        <w:rPr>
          <w:rFonts w:cstheme="minorHAnsi"/>
        </w:rPr>
        <w:t>these four phenotypes</w:t>
      </w:r>
      <w:r w:rsidR="00F85A17" w:rsidRPr="00C35C36">
        <w:rPr>
          <w:rFonts w:cstheme="minorHAnsi"/>
        </w:rPr>
        <w:t xml:space="preserve"> to </w:t>
      </w:r>
      <w:r>
        <w:rPr>
          <w:rFonts w:cstheme="minorHAnsi"/>
        </w:rPr>
        <w:t>the</w:t>
      </w:r>
      <w:r w:rsidR="00F85A17" w:rsidRPr="00C35C36">
        <w:rPr>
          <w:rFonts w:cstheme="minorHAnsi"/>
        </w:rPr>
        <w:t xml:space="preserve"> whole-genome sequenc</w:t>
      </w:r>
      <w:r>
        <w:rPr>
          <w:rFonts w:cstheme="minorHAnsi"/>
        </w:rPr>
        <w:t>ing</w:t>
      </w:r>
      <w:r w:rsidR="00F85A17" w:rsidRPr="00C35C36">
        <w:rPr>
          <w:rFonts w:cstheme="minorHAnsi"/>
        </w:rPr>
        <w:t xml:space="preserve"> data using EMMAX</w:t>
      </w:r>
      <w:r>
        <w:rPr>
          <w:rFonts w:cstheme="minorHAnsi"/>
        </w:rPr>
        <w:t>, a variance-component linear mixed model</w:t>
      </w:r>
      <w:r w:rsidR="00FE4D97">
        <w:rPr>
          <w:rFonts w:cstheme="minorHAnsi"/>
        </w:rPr>
        <w:t xml:space="preserve"> </w:t>
      </w:r>
      <w:r w:rsidR="00FE4D97">
        <w:rPr>
          <w:rFonts w:cstheme="minorHAnsi"/>
        </w:rPr>
        <w:fldChar w:fldCharType="begin" w:fldLock="1"/>
      </w:r>
      <w:r w:rsidR="00FE4D97">
        <w:rPr>
          <w:rFonts w:cstheme="minorHAnsi"/>
        </w:rPr>
        <w:instrText>ADDIN CSL_CITATION {"citationItems":[{"id":"ITEM-1","itemData":{"DOI":"10.1038/ng.548","abstract":"Although genome-wide association studies (GWASs) have identified numerous loci associated with complex traits, imprecise modeling of the genetic relatedness within study samples may cause substantial inflation of test statistics and possibly spurious associations. Variance component approaches, such as efficient mixed-model association (EMMA), can correct for a wide range of sample structures by explicitly accounting for pairwise relatedness between individuals, using high-density markers to model the phenotype distribution; but such approaches are computationally impractical. We report here a variance component approach implemented in publicly available software, EMMA eXpedited (EMMAX), that reduces the computational time for analyzing large GWAS data sets from years to hours. We apply this method to two human GWAS data sets, performing association analysis for ten quantitative traits from the Northern Finland Birth Cohort and seven common diseases from the Wellcome Trust Case Control Consortium. We find that EMMAX outperforms both principal component analysis and genomic control in correcting for sample structure.","author":[{"dropping-particle":"","family":"Kang","given":"Hyun Min","non-dropping-particle":"","parse-names":false,"suffix":""},{"dropping-particle":"","family":"Sul","given":"Jae Hoon","non-dropping-particle":"","parse-names":false,"suffix":""},{"dropping-particle":"","family":"Service","given":"Susan K","non-dropping-particle":"","parse-names":false,"suffix":""},{"dropping-particle":"","family":"Zaitlen","given":"Noah A","non-dropping-particle":"","parse-names":false,"suffix":""},{"dropping-particle":"","family":"Kong","given":"Sit-Yee","non-dropping-particle":"","parse-names":false,"suffix":""},{"dropping-particle":"","family":"Freimer","given":"Nelson B","non-dropping-particle":"","parse-names":false,"suffix":""},{"dropping-particle":"","family":"Sabatti","given":"Chiara","non-dropping-particle":"","parse-names":false,"suffix":""},{"dropping-particle":"","family":"Eskin","given":"Eleazar","non-dropping-particle":"","parse-names":false,"suffix":""}],"container-title":"Nature Genetics","id":"ITEM-1","issue":"4","issued":{"date-parts":[["2010"]]},"page":"348-354","title":"Variance component model to account for sample structure in genome-wide association studies","type":"article-journal","volume":"42"},"uris":["http://www.mendeley.com/documents/?uuid=d503f1ba-449b-4bfc-a1ff-6c804b0009f6"]}],"mendeley":{"formattedCitation":"[17]","plainTextFormattedCitation":"[17]","previouslyFormattedCitation":"[17]"},"properties":{"noteIndex":0},"schema":"https://github.com/citation-style-language/schema/raw/master/csl-citation.json"}</w:instrText>
      </w:r>
      <w:r w:rsidR="00FE4D97">
        <w:rPr>
          <w:rFonts w:cstheme="minorHAnsi"/>
        </w:rPr>
        <w:fldChar w:fldCharType="separate"/>
      </w:r>
      <w:r w:rsidR="00FE4D97" w:rsidRPr="00FE4D97">
        <w:rPr>
          <w:rFonts w:cstheme="minorHAnsi"/>
          <w:noProof/>
        </w:rPr>
        <w:t>[17]</w:t>
      </w:r>
      <w:r w:rsidR="00FE4D97">
        <w:rPr>
          <w:rFonts w:cstheme="minorHAnsi"/>
        </w:rPr>
        <w:fldChar w:fldCharType="end"/>
      </w:r>
      <w:r w:rsidR="00F85A17" w:rsidRPr="00C35C36">
        <w:rPr>
          <w:rFonts w:cstheme="minorHAnsi"/>
        </w:rPr>
        <w:t xml:space="preserve">. QQ plots indicate minimal effects of genomic inflation and population substructure on our analyses (Figure S7). While we did not find significant </w:t>
      </w:r>
      <w:proofErr w:type="spellStart"/>
      <w:r>
        <w:rPr>
          <w:rFonts w:cstheme="minorHAnsi"/>
        </w:rPr>
        <w:t>snps</w:t>
      </w:r>
      <w:proofErr w:type="spellEnd"/>
      <w:r>
        <w:rPr>
          <w:rFonts w:cstheme="minorHAnsi"/>
        </w:rPr>
        <w:t xml:space="preserve"> </w:t>
      </w:r>
      <w:r w:rsidR="00F85A17" w:rsidRPr="00C35C36">
        <w:rPr>
          <w:rFonts w:cstheme="minorHAnsi"/>
        </w:rPr>
        <w:t>at p-value &lt; 5x10</w:t>
      </w:r>
      <w:r w:rsidR="00F85A17" w:rsidRPr="00C35C36">
        <w:rPr>
          <w:rFonts w:cstheme="minorHAnsi"/>
          <w:vertAlign w:val="superscript"/>
        </w:rPr>
        <w:t>-8</w:t>
      </w:r>
      <w:r w:rsidR="00F85A17" w:rsidRPr="00C35C36">
        <w:rPr>
          <w:rFonts w:cstheme="minorHAnsi"/>
        </w:rPr>
        <w:t xml:space="preserve"> level, </w:t>
      </w:r>
      <w:r>
        <w:rPr>
          <w:rFonts w:cstheme="minorHAnsi"/>
        </w:rPr>
        <w:t>many</w:t>
      </w:r>
      <w:r w:rsidR="00F85A17" w:rsidRPr="00C35C36">
        <w:rPr>
          <w:rFonts w:cstheme="minorHAnsi"/>
        </w:rPr>
        <w:t xml:space="preserve"> were suggestive at p-value &lt; 1x10</w:t>
      </w:r>
      <w:r w:rsidR="00F85A17" w:rsidRPr="00C35C36">
        <w:rPr>
          <w:rFonts w:cstheme="minorHAnsi"/>
          <w:vertAlign w:val="superscript"/>
        </w:rPr>
        <w:t>-5</w:t>
      </w:r>
      <w:r w:rsidR="00F85A17" w:rsidRPr="00C35C36">
        <w:rPr>
          <w:rFonts w:cstheme="minorHAnsi"/>
        </w:rPr>
        <w:t xml:space="preserve"> level</w:t>
      </w:r>
      <w:r>
        <w:rPr>
          <w:rFonts w:cstheme="minorHAnsi"/>
        </w:rPr>
        <w:t>.</w:t>
      </w:r>
      <w:r w:rsidR="003D4752">
        <w:rPr>
          <w:rFonts w:cstheme="minorHAnsi"/>
        </w:rPr>
        <w:t xml:space="preserve"> We </w:t>
      </w:r>
      <w:r w:rsidR="00457C54">
        <w:rPr>
          <w:rFonts w:cstheme="minorHAnsi"/>
        </w:rPr>
        <w:t>mapped these variants to known genes</w:t>
      </w:r>
      <w:r w:rsidR="003D4752">
        <w:rPr>
          <w:rFonts w:cstheme="minorHAnsi"/>
        </w:rPr>
        <w:t xml:space="preserve"> using FUMA (</w:t>
      </w:r>
      <w:hyperlink r:id="rId12" w:history="1">
        <w:r w:rsidR="003D4752">
          <w:rPr>
            <w:rStyle w:val="Hyperlink"/>
          </w:rPr>
          <w:t>https://fuma.ctglab.nl/</w:t>
        </w:r>
      </w:hyperlink>
      <w:r w:rsidR="003D4752">
        <w:t>)</w:t>
      </w:r>
      <w:r w:rsidR="00457C54">
        <w:t xml:space="preserve">, and annotated them by querying the GWAS Catalog </w:t>
      </w:r>
      <w:hyperlink r:id="rId13" w:history="1">
        <w:r w:rsidR="00457C54">
          <w:rPr>
            <w:rStyle w:val="Hyperlink"/>
          </w:rPr>
          <w:t>https://www.ebi.ac.uk/gwas/</w:t>
        </w:r>
      </w:hyperlink>
      <w:r w:rsidR="00457C54">
        <w:t xml:space="preserve"> using the R </w:t>
      </w:r>
      <w:r w:rsidR="00457C54" w:rsidRPr="00AC5EBD">
        <w:rPr>
          <w:rFonts w:cstheme="minorHAnsi"/>
        </w:rPr>
        <w:t xml:space="preserve">package </w:t>
      </w:r>
      <w:proofErr w:type="spellStart"/>
      <w:r w:rsidR="00457C54" w:rsidRPr="00AC5EBD">
        <w:rPr>
          <w:rFonts w:cstheme="minorHAnsi"/>
        </w:rPr>
        <w:t>gwasrapidd</w:t>
      </w:r>
      <w:proofErr w:type="spellEnd"/>
      <w:r w:rsidR="00FE4D97">
        <w:rPr>
          <w:rFonts w:cstheme="minorHAnsi"/>
        </w:rPr>
        <w:t xml:space="preserve"> </w:t>
      </w:r>
      <w:r w:rsidR="00FE4D97">
        <w:rPr>
          <w:rFonts w:cstheme="minorHAnsi"/>
        </w:rPr>
        <w:fldChar w:fldCharType="begin" w:fldLock="1"/>
      </w:r>
      <w:r w:rsidR="00156E8D">
        <w:rPr>
          <w:rFonts w:cstheme="minorHAnsi"/>
        </w:rPr>
        <w:instrText>ADDIN CSL_CITATION {"citationItems":[{"id":"ITEM-1","itemData":{"author":[{"dropping-particle":"","family":"Magno","given":"Ramiro","non-dropping-particle":"","parse-names":false,"suffix":""},{"dropping-particle":"","family":"Maia","given":"Ana-Teresa","non-dropping-particle":"","parse-names":false,"suffix":""}],"container-title":"Bioinformatics","id":"ITEM-1","issued":{"date-parts":[["2019"]]},"page":"1-2","title":"gwasrapidd: an R package to query, download and wrangle GWAS Catalog data","type":"article-journal"},"uris":["http://www.mendeley.com/documents/?uuid=f1841874-5eb3-47fe-9d47-7066c001da2e"]}],"mendeley":{"formattedCitation":"[18]","plainTextFormattedCitation":"[18]","previouslyFormattedCitation":"[18]"},"properties":{"noteIndex":0},"schema":"https://github.com/citation-style-language/schema/raw/master/csl-citation.json"}</w:instrText>
      </w:r>
      <w:r w:rsidR="00FE4D97">
        <w:rPr>
          <w:rFonts w:cstheme="minorHAnsi"/>
        </w:rPr>
        <w:fldChar w:fldCharType="separate"/>
      </w:r>
      <w:r w:rsidR="00FE4D97" w:rsidRPr="00FE4D97">
        <w:rPr>
          <w:rFonts w:cstheme="minorHAnsi"/>
          <w:noProof/>
        </w:rPr>
        <w:t>[18]</w:t>
      </w:r>
      <w:r w:rsidR="00FE4D97">
        <w:rPr>
          <w:rFonts w:cstheme="minorHAnsi"/>
        </w:rPr>
        <w:fldChar w:fldCharType="end"/>
      </w:r>
      <w:r w:rsidR="00457C54" w:rsidRPr="00AC5EBD">
        <w:rPr>
          <w:rFonts w:cstheme="minorHAnsi"/>
        </w:rPr>
        <w:t xml:space="preserve">, as well as manually querying the Human Gene Database </w:t>
      </w:r>
      <w:proofErr w:type="spellStart"/>
      <w:r w:rsidR="00457C54" w:rsidRPr="00AC5EBD">
        <w:rPr>
          <w:rFonts w:cstheme="minorHAnsi"/>
        </w:rPr>
        <w:t>GeneCards</w:t>
      </w:r>
      <w:proofErr w:type="spellEnd"/>
      <w:r w:rsidR="00457C54" w:rsidRPr="00AC5EBD">
        <w:rPr>
          <w:rFonts w:cstheme="minorHAnsi"/>
        </w:rPr>
        <w:t xml:space="preserve"> (</w:t>
      </w:r>
      <w:hyperlink r:id="rId14" w:history="1">
        <w:r w:rsidR="00457C54" w:rsidRPr="00AC5EBD">
          <w:rPr>
            <w:rStyle w:val="Hyperlink"/>
            <w:rFonts w:cstheme="minorHAnsi"/>
          </w:rPr>
          <w:t>https://www.genecards.org/</w:t>
        </w:r>
      </w:hyperlink>
      <w:r w:rsidR="00457C54" w:rsidRPr="00AC5EBD">
        <w:rPr>
          <w:rFonts w:cstheme="minorHAnsi"/>
        </w:rPr>
        <w:t>).</w:t>
      </w:r>
    </w:p>
    <w:p w14:paraId="38BBF4E6" w14:textId="645DCD07" w:rsidR="00F85A17" w:rsidRDefault="00AC5EBD" w:rsidP="002170C3">
      <w:pPr>
        <w:spacing w:after="120" w:line="360" w:lineRule="auto"/>
        <w:rPr>
          <w:rFonts w:cstheme="minorHAnsi"/>
          <w:b/>
          <w:bCs/>
        </w:rPr>
      </w:pPr>
      <w:r>
        <w:rPr>
          <w:rFonts w:eastAsia="Times New Roman" w:cstheme="minorHAnsi"/>
        </w:rPr>
        <w:t>In order to visualize the relationships between our archetype specificity phenotypes and their associated loci, w</w:t>
      </w:r>
      <w:r w:rsidRPr="00AC5EBD">
        <w:rPr>
          <w:rFonts w:eastAsia="Times New Roman" w:cstheme="minorHAnsi"/>
        </w:rPr>
        <w:t xml:space="preserve">e built a directed network </w:t>
      </w:r>
      <w:r>
        <w:rPr>
          <w:rFonts w:eastAsia="Times New Roman" w:cstheme="minorHAnsi"/>
        </w:rPr>
        <w:t xml:space="preserve">using </w:t>
      </w:r>
      <w:proofErr w:type="spellStart"/>
      <w:r w:rsidRPr="00AC5EBD">
        <w:rPr>
          <w:rFonts w:eastAsia="Times New Roman" w:cstheme="minorHAnsi"/>
        </w:rPr>
        <w:t>Cytoscape</w:t>
      </w:r>
      <w:proofErr w:type="spellEnd"/>
      <w:r w:rsidRPr="00AC5EBD">
        <w:rPr>
          <w:rFonts w:eastAsia="Times New Roman" w:cstheme="minorHAnsi"/>
        </w:rPr>
        <w:t xml:space="preserve"> version 3.7 (https://cytoscape.org/) </w:t>
      </w:r>
      <w:r w:rsidR="002170C3">
        <w:rPr>
          <w:rStyle w:val="FootnoteReference"/>
          <w:rFonts w:eastAsia="Times New Roman" w:cstheme="minorHAnsi"/>
        </w:rPr>
        <w:fldChar w:fldCharType="begin" w:fldLock="1"/>
      </w:r>
      <w:r w:rsidR="00156E8D">
        <w:rPr>
          <w:rFonts w:eastAsia="Times New Roman" w:cstheme="minorHAnsi"/>
        </w:rPr>
        <w:instrText>ADDIN CSL_CITATION {"citationItems":[{"id":"ITEM-1","itemData":{"DOI":"10.1101/gr.1239303.metabolite","ISBN":"1088-9051 (Print) 1088-9051 (Linking)","ISSN":"1088-9051","PMID":"14597658","abstract":"Cytoscape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author":[{"dropping-particle":"","family":"Shannon","given":"Paul","non-dropping-particle":"","parse-names":false,"suffix":""},{"dropping-particle":"","family":"Markiel","given":"Andrew","non-dropping-particle":"","parse-names":false,"suffix":""},{"dropping-particle":"","family":"Ozier","given":"Owen","non-dropping-particle":"","parse-names":false,"suffix":""},{"dropping-particle":"","family":"Baliga","given":"Nitin S.","non-dropping-particle":"","parse-names":false,"suffix":""},{"dropping-particle":"","family":"Wang","given":"Jonathan T.","non-dropping-particle":"","parse-names":false,"suffix":""},{"dropping-particle":"","family":"Ramage","given":"Daniel","non-dropping-particle":"","parse-names":false,"suffix":""},{"dropping-particle":"","family":"Amin","given":"Nada","non-dropping-particle":"","parse-names":false,"suffix":""},{"dropping-particle":"","family":"Schwikowski","given":"Benno","non-dropping-particle":"","parse-names":false,"suffix":""},{"dropping-particle":"","family":"Ideker","given":"Trey","non-dropping-particle":"","parse-names":false,"suffix":""}],"container-title":"Genome Research","id":"ITEM-1","issue":"22","issued":{"date-parts":[["2003"]]},"page":"2498-2504","title":"Cytoscape: A Software Environment for Integrated Models","type":"article-journal","volume":"13"},"uris":["http://www.mendeley.com/documents/?uuid=9ed442e5-25fd-4abe-8c62-5472a6b19884","http://www.mendeley.com/documents/?uuid=613bc5a2-1208-460a-bed7-85d12ec0a435"]}],"mendeley":{"formattedCitation":"[19]","plainTextFormattedCitation":"[19]","previouslyFormattedCitation":"[19]"},"properties":{"noteIndex":0},"schema":"https://github.com/citation-style-language/schema/raw/master/csl-citation.json"}</w:instrText>
      </w:r>
      <w:r w:rsidR="002170C3">
        <w:rPr>
          <w:rStyle w:val="FootnoteReference"/>
          <w:rFonts w:eastAsia="Times New Roman" w:cstheme="minorHAnsi"/>
        </w:rPr>
        <w:fldChar w:fldCharType="separate"/>
      </w:r>
      <w:r w:rsidR="00FE4D97" w:rsidRPr="00FE4D97">
        <w:rPr>
          <w:rFonts w:eastAsia="Times New Roman" w:cstheme="minorHAnsi"/>
          <w:bCs/>
          <w:noProof/>
        </w:rPr>
        <w:t>[19]</w:t>
      </w:r>
      <w:r w:rsidR="002170C3">
        <w:rPr>
          <w:rStyle w:val="FootnoteReference"/>
          <w:rFonts w:eastAsia="Times New Roman" w:cstheme="minorHAnsi"/>
        </w:rPr>
        <w:fldChar w:fldCharType="end"/>
      </w:r>
      <w:r w:rsidRPr="00AC5EBD">
        <w:rPr>
          <w:rFonts w:eastAsia="Times New Roman" w:cstheme="minorHAnsi"/>
        </w:rPr>
        <w:t xml:space="preserve">. </w:t>
      </w:r>
      <w:r>
        <w:rPr>
          <w:rFonts w:eastAsia="Times New Roman" w:cstheme="minorHAnsi"/>
        </w:rPr>
        <w:t>For comparison, w</w:t>
      </w:r>
      <w:r w:rsidRPr="00AC5EBD">
        <w:rPr>
          <w:rFonts w:eastAsia="Times New Roman" w:cstheme="minorHAnsi"/>
        </w:rPr>
        <w:t xml:space="preserve">e included in this network results of single-variant association of </w:t>
      </w:r>
      <w:r w:rsidR="002C6301">
        <w:rPr>
          <w:rFonts w:eastAsia="Times New Roman" w:cstheme="minorHAnsi"/>
        </w:rPr>
        <w:t xml:space="preserve">other </w:t>
      </w:r>
      <w:r>
        <w:rPr>
          <w:rFonts w:eastAsia="Times New Roman" w:cstheme="minorHAnsi"/>
        </w:rPr>
        <w:t xml:space="preserve">relevant </w:t>
      </w:r>
      <w:r w:rsidR="002C6301">
        <w:rPr>
          <w:rFonts w:eastAsia="Times New Roman" w:cstheme="minorHAnsi"/>
        </w:rPr>
        <w:t xml:space="preserve">traits, including subtype specificity metrics </w:t>
      </w:r>
      <w:r w:rsidR="00C060BB">
        <w:rPr>
          <w:rFonts w:eastAsia="Times New Roman" w:cstheme="minorHAnsi"/>
        </w:rPr>
        <w:t xml:space="preserve">generated by </w:t>
      </w:r>
      <w:r w:rsidR="00156E8D">
        <w:rPr>
          <w:rFonts w:eastAsia="Times New Roman" w:cstheme="minorHAnsi"/>
        </w:rPr>
        <w:fldChar w:fldCharType="begin" w:fldLock="1"/>
      </w:r>
      <w:r w:rsidR="00156E8D">
        <w:rPr>
          <w:rFonts w:eastAsia="Times New Roman" w:cstheme="minorHAnsi"/>
        </w:rPr>
        <w:instrText>ADDIN CSL_CITATION {"citationItems":[{"id":"ITEM-1","itemData":{"DOI":"10.1101/763516","abstract":"Late-Onset Alzheimer’s disease (LOAD) is a common, complex genetic disorder well-known for its heterogeneous pathology. The genetic heterogeneity underlying common complex diseases poses a major challenge for targeted therapies and the identification of novel disease-associated variants. Case-control approaches are often limited to examining a specific outcome in a group of heterogenous patients with different clinical characteristics. Here, we developed a novel approach to define relevant transcriptomic endophenotypes and stratify decedents based on molecular profiles in three independent human LOAD cohorts. By integrating post-mortem brain gene co-expression data from 2114 human samples with LOAD, we developed a novel quantitative, composite phenotype that can better account for the heterogeneity in genetic architecture underlying the disease. We used iterative weighted gene co-expression network analysis (WGCNA) analysis to reduce data dimensionality and to isolate gene sets that are highly co-expressed within disease subtypes and represent specific molecular pathways. We then performed single variant association testing using whole genome-sequencing data for the novel composite phenotype in order to identify genetic loci that contribute to disease heterogeneity. Distinct LOAD subtypes were identified for all three study cohorts (two in ROSMAP, three in Mayo Clinic, two in Mount Sinai Brain Bank). Single variant association analysis identified a genome-wide significant variant in TMEM106B (p-value &lt; 5×10−8, rs1990620G) in the ROSMAP cohort that confers protection from the inflammatory LOAD subtype. Taken together, our novel approach can be used to stratify LOAD into distinct molecular subtypes based on affected disease pathways.","author":[{"dropping-particle":"","family":"Milind","given":"Nikhil","non-dropping-particle":"","parse-names":false,"suffix":""},{"dropping-particle":"","family":"Preuss","given":"Christoph","non-dropping-particle":"","parse-names":false,"suffix":""},{"dropping-particle":"","family":"Haber","given":"Annat","non-dropping-particle":"","parse-names":false,"suffix":""},{"dropping-particle":"","family":"Ananda","given":"Guru","non-dropping-particle":"","parse-names":false,"suffix":""},{"dropping-particle":"","family":"Mukherjee","given":"Shubhabrata","non-dropping-particle":"","parse-names":false,"suffix":""},{"dropping-particle":"","family":"John","given":"Cai","non-dropping-particle":"","parse-names":false,"suffix":""},{"dropping-particle":"","family":"Shapley","given":"Sarah","non-dropping-particle":"","parse-names":false,"suffix":""},{"dropping-particle":"","family":"Tyler","given":"Anna L","non-dropping-particle":"","parse-names":false,"suffix":""},{"dropping-particle":"","family":"Logsdon","given":"Benjamin A","non-dropping-particle":"","parse-names":false,"suffix":""},{"dropping-particle":"","family":"Crane","given":"Paul K","non-dropping-particle":"","parse-names":false,"suffix":""},{"dropping-particle":"","family":"Carter","given":"Gregory W","non-dropping-particle":"","parse-names":false,"suffix":""}],"container-title":"bioRxiv","id":"ITEM-1","issued":{"date-parts":[["2019","9","11"]]},"page":"51404","publisher":"Cold Spring Harbor Laboratory","title":"Transcriptomic Stratification of Late-Onset Alzheimer's Cases Reveals Novel Genetic Modifiers of Disease Pathology","type":"article-journal"},"uris":["http://www.mendeley.com/documents/?uuid=bbce8a1f-d765-3511-a62a-979b59b3e5f5"]}],"mendeley":{"formattedCitation":"[5]","plainTextFormattedCitation":"[5]","previouslyFormattedCitation":"[5]"},"properties":{"noteIndex":0},"schema":"https://github.com/citation-style-language/schema/raw/master/csl-citation.json"}</w:instrText>
      </w:r>
      <w:r w:rsidR="00156E8D">
        <w:rPr>
          <w:rFonts w:eastAsia="Times New Roman" w:cstheme="minorHAnsi"/>
        </w:rPr>
        <w:fldChar w:fldCharType="separate"/>
      </w:r>
      <w:r w:rsidR="00156E8D" w:rsidRPr="00156E8D">
        <w:rPr>
          <w:rFonts w:eastAsia="Times New Roman" w:cstheme="minorHAnsi"/>
          <w:noProof/>
        </w:rPr>
        <w:t>[5]</w:t>
      </w:r>
      <w:r w:rsidR="00156E8D">
        <w:rPr>
          <w:rFonts w:eastAsia="Times New Roman" w:cstheme="minorHAnsi"/>
        </w:rPr>
        <w:fldChar w:fldCharType="end"/>
      </w:r>
      <w:r w:rsidR="00C060BB">
        <w:rPr>
          <w:rFonts w:eastAsia="Times New Roman" w:cstheme="minorHAnsi"/>
        </w:rPr>
        <w:t xml:space="preserve">, as well as </w:t>
      </w:r>
      <w:proofErr w:type="spellStart"/>
      <w:r w:rsidRPr="00AC5EBD">
        <w:rPr>
          <w:rFonts w:eastAsia="Times New Roman" w:cstheme="minorHAnsi"/>
        </w:rPr>
        <w:t>Braak</w:t>
      </w:r>
      <w:proofErr w:type="spellEnd"/>
      <w:r w:rsidRPr="00AC5EBD">
        <w:rPr>
          <w:rFonts w:eastAsia="Times New Roman" w:cstheme="minorHAnsi"/>
        </w:rPr>
        <w:t xml:space="preserve"> stage, CERAD scores, cognitive diagnosis, and case-control diagnosis (using EMMAX </w:t>
      </w:r>
      <w:r w:rsidR="002170C3">
        <w:rPr>
          <w:rStyle w:val="FootnoteReference"/>
          <w:rFonts w:eastAsia="Times New Roman" w:cstheme="minorHAnsi"/>
        </w:rPr>
        <w:fldChar w:fldCharType="begin" w:fldLock="1"/>
      </w:r>
      <w:r w:rsidR="00FE4D97">
        <w:rPr>
          <w:rFonts w:eastAsia="Times New Roman" w:cstheme="minorHAnsi"/>
        </w:rPr>
        <w:instrText>ADDIN CSL_CITATION {"citationItems":[{"id":"ITEM-1","itemData":{"DOI":"10.1038/ng.548","abstract":"Although genome-wide association studies (GWASs) have identified numerous loci associated with complex traits, imprecise modeling of the genetic relatedness within study samples may cause substantial inflation of test statistics and possibly spurious associations. Variance component approaches, such as efficient mixed-model association (EMMA), can correct for a wide range of sample structures by explicitly accounting for pairwise relatedness between individuals, using high-density markers to model the phenotype distribution; but such approaches are computationally impractical. We report here a variance component approach implemented in publicly available software, EMMA eXpedited (EMMAX), that reduces the computational time for analyzing large GWAS data sets from years to hours. We apply this method to two human GWAS data sets, performing association analysis for ten quantitative traits from the Northern Finland Birth Cohort and seven common diseases from the Wellcome Trust Case Control Consortium. We find that EMMAX outperforms both principal component analysis and genomic control in correcting for sample structure.","author":[{"dropping-particle":"","family":"Kang","given":"Hyun Min","non-dropping-particle":"","parse-names":false,"suffix":""},{"dropping-particle":"","family":"Sul","given":"Jae Hoon","non-dropping-particle":"","parse-names":false,"suffix":""},{"dropping-particle":"","family":"Service","given":"Susan K","non-dropping-particle":"","parse-names":false,"suffix":""},{"dropping-particle":"","family":"Zaitlen","given":"Noah A","non-dropping-particle":"","parse-names":false,"suffix":""},{"dropping-particle":"","family":"Kong","given":"Sit-Yee","non-dropping-particle":"","parse-names":false,"suffix":""},{"dropping-particle":"","family":"Freimer","given":"Nelson B","non-dropping-particle":"","parse-names":false,"suffix":""},{"dropping-particle":"","family":"Sabatti","given":"Chiara","non-dropping-particle":"","parse-names":false,"suffix":""},{"dropping-particle":"","family":"Eskin","given":"Eleazar","non-dropping-particle":"","parse-names":false,"suffix":""}],"container-title":"Nature Genetics","id":"ITEM-1","issue":"4","issued":{"date-parts":[["2010"]]},"page":"348-354","title":"Variance component model to account for sample structure in genome-wide association studies","type":"article-journal","volume":"42"},"uris":["http://www.mendeley.com/documents/?uuid=76135e87-b7d8-3817-a079-a419ea16d422","http://www.mendeley.com/documents/?uuid=d503f1ba-449b-4bfc-a1ff-6c804b0009f6"]}],"mendeley":{"formattedCitation":"[17]","plainTextFormattedCitation":"[17]","previouslyFormattedCitation":"[17]"},"properties":{"noteIndex":0},"schema":"https://github.com/citation-style-language/schema/raw/master/csl-citation.json"}</w:instrText>
      </w:r>
      <w:r w:rsidR="002170C3">
        <w:rPr>
          <w:rStyle w:val="FootnoteReference"/>
          <w:rFonts w:eastAsia="Times New Roman" w:cstheme="minorHAnsi"/>
        </w:rPr>
        <w:fldChar w:fldCharType="separate"/>
      </w:r>
      <w:r w:rsidR="00FE4D97" w:rsidRPr="00FE4D97">
        <w:rPr>
          <w:rFonts w:eastAsia="Times New Roman" w:cstheme="minorHAnsi"/>
          <w:bCs/>
          <w:noProof/>
        </w:rPr>
        <w:t>[17]</w:t>
      </w:r>
      <w:r w:rsidR="002170C3">
        <w:rPr>
          <w:rStyle w:val="FootnoteReference"/>
          <w:rFonts w:eastAsia="Times New Roman" w:cstheme="minorHAnsi"/>
        </w:rPr>
        <w:fldChar w:fldCharType="end"/>
      </w:r>
      <w:r w:rsidRPr="00AC5EBD">
        <w:rPr>
          <w:rFonts w:eastAsia="Times New Roman" w:cstheme="minorHAnsi"/>
        </w:rPr>
        <w:t xml:space="preserve"> as for the other traits).</w:t>
      </w:r>
    </w:p>
    <w:p w14:paraId="02C2491B" w14:textId="77777777" w:rsidR="002170C3" w:rsidRPr="002170C3" w:rsidRDefault="002170C3" w:rsidP="002170C3">
      <w:pPr>
        <w:spacing w:after="120" w:line="360" w:lineRule="auto"/>
        <w:rPr>
          <w:rFonts w:cstheme="minorHAnsi"/>
          <w:b/>
          <w:bCs/>
        </w:rPr>
      </w:pPr>
    </w:p>
    <w:p w14:paraId="0DC9386F" w14:textId="4BC79C11" w:rsidR="007846CA" w:rsidRDefault="00311EC3" w:rsidP="002170C3">
      <w:pPr>
        <w:spacing w:after="120" w:line="360" w:lineRule="auto"/>
      </w:pPr>
      <w:r>
        <w:t>RESULTS</w:t>
      </w:r>
    </w:p>
    <w:p w14:paraId="5E61CE7B" w14:textId="297A952C" w:rsidR="001E12D2" w:rsidRPr="00F93A79" w:rsidRDefault="00F93A79" w:rsidP="002170C3">
      <w:pPr>
        <w:spacing w:after="120" w:line="360" w:lineRule="auto"/>
        <w:rPr>
          <w:b/>
          <w:bCs/>
        </w:rPr>
      </w:pPr>
      <w:r w:rsidRPr="00F93A79">
        <w:rPr>
          <w:b/>
          <w:bCs/>
        </w:rPr>
        <w:t>Archetypes Fitting and Annotation</w:t>
      </w:r>
    </w:p>
    <w:p w14:paraId="76934CA9" w14:textId="3E62B14D" w:rsidR="00311EC3" w:rsidRDefault="00750844" w:rsidP="002170C3">
      <w:pPr>
        <w:spacing w:after="120" w:line="360" w:lineRule="auto"/>
      </w:pPr>
      <w:r>
        <w:t>In order to find the number of archetypes that best fit the data, we fitted</w:t>
      </w:r>
      <w:r w:rsidR="00311EC3">
        <w:t xml:space="preserve"> polygons </w:t>
      </w:r>
      <w:r w:rsidR="008C03E1">
        <w:t>with</w:t>
      </w:r>
      <w:r w:rsidR="00311EC3">
        <w:t xml:space="preserve"> </w:t>
      </w:r>
      <w:r>
        <w:t xml:space="preserve">an </w:t>
      </w:r>
      <w:r w:rsidR="00311EC3">
        <w:t xml:space="preserve">increasing </w:t>
      </w:r>
      <w:r w:rsidR="008C03E1">
        <w:t>number of vertices</w:t>
      </w:r>
      <w:r w:rsidR="003C30AD">
        <w:t xml:space="preserve"> (i.e., archetypes)</w:t>
      </w:r>
      <w:r>
        <w:t>,</w:t>
      </w:r>
      <w:r w:rsidR="00844B37">
        <w:t xml:space="preserve"> </w:t>
      </w:r>
      <w:r>
        <w:t>using</w:t>
      </w:r>
      <w:r w:rsidR="00844B37">
        <w:t xml:space="preserve"> the first 20 PC’s of the gene expression data</w:t>
      </w:r>
      <w:r w:rsidR="00311EC3">
        <w:t>. As expected, the proportion of variance explained by the polygon increase</w:t>
      </w:r>
      <w:r w:rsidR="00C2752A">
        <w:t>d</w:t>
      </w:r>
      <w:r w:rsidR="00311EC3">
        <w:t xml:space="preserve"> with </w:t>
      </w:r>
      <w:r w:rsidR="008C03E1">
        <w:t>the number of vertices</w:t>
      </w:r>
      <w:r w:rsidR="00311EC3">
        <w:t xml:space="preserve"> (Fig. 1A). However, the added benefit of adding more vertices decrease</w:t>
      </w:r>
      <w:r w:rsidR="00C2752A">
        <w:t>d</w:t>
      </w:r>
      <w:r w:rsidR="00311EC3">
        <w:t xml:space="preserve"> substantially past </w:t>
      </w:r>
      <w:r w:rsidR="008C03E1">
        <w:t>three</w:t>
      </w:r>
      <w:r w:rsidR="00311EC3">
        <w:t xml:space="preserve"> (Fig. 1B). In addition, the variance in the inferred position of each archetype, estimated based on 200 bootstrapped samples of the original space, increase</w:t>
      </w:r>
      <w:r w:rsidR="00C2752A">
        <w:t>d</w:t>
      </w:r>
      <w:r w:rsidR="00311EC3">
        <w:t xml:space="preserve"> substantially for polygons with more than 3 vertices. Therefore, we conclude</w:t>
      </w:r>
      <w:r w:rsidR="00C2752A">
        <w:t>d</w:t>
      </w:r>
      <w:r w:rsidR="00311EC3">
        <w:t xml:space="preserve"> that the optimal number of archetypes </w:t>
      </w:r>
      <w:r w:rsidR="003C30AD">
        <w:t xml:space="preserve">for this dataset </w:t>
      </w:r>
      <w:r w:rsidR="00311EC3">
        <w:t>is 3, represented by a triangle</w:t>
      </w:r>
      <w:r w:rsidR="00C01EBC">
        <w:t xml:space="preserve"> (see also Figure 2)</w:t>
      </w:r>
      <w:r w:rsidR="00311EC3">
        <w:t>.</w:t>
      </w:r>
      <w:r w:rsidR="007359F6">
        <w:t xml:space="preserve"> Table S2 provides the archetype specificity metrics for each patient, calculated as the Euclidean distance from each patient to </w:t>
      </w:r>
      <w:r>
        <w:t>e</w:t>
      </w:r>
      <w:r w:rsidR="007359F6">
        <w:t>ach archetype, as well as the categorical assignment of each patient to the nearest archetype.</w:t>
      </w:r>
    </w:p>
    <w:p w14:paraId="6F4AA3B6" w14:textId="2874807A" w:rsidR="003F49CA" w:rsidRDefault="00C01EBC" w:rsidP="002170C3">
      <w:pPr>
        <w:spacing w:after="120" w:line="360" w:lineRule="auto"/>
      </w:pPr>
      <w:r>
        <w:lastRenderedPageBreak/>
        <w:t>Previously published classification of the same cohort</w:t>
      </w:r>
      <w:r w:rsidR="00C2752A">
        <w:t xml:space="preserve"> </w:t>
      </w:r>
      <w:r w:rsidR="00156E8D">
        <w:t xml:space="preserve">by </w:t>
      </w:r>
      <w:r w:rsidR="00156E8D">
        <w:fldChar w:fldCharType="begin" w:fldLock="1"/>
      </w:r>
      <w:r w:rsidR="00156E8D">
        <w:instrText>ADDIN CSL_CITATION {"citationItems":[{"id":"ITEM-1","itemData":{"DOI":"10.1101/763516","abstract":"Late-Onset Alzheimer’s disease (LOAD) is a common, complex genetic disorder well-known for its heterogeneous pathology. The genetic heterogeneity underlying common complex diseases poses a major challenge for targeted therapies and the identification of novel disease-associated variants. Case-control approaches are often limited to examining a specific outcome in a group of heterogenous patients with different clinical characteristics. Here, we developed a novel approach to define relevant transcriptomic endophenotypes and stratify decedents based on molecular profiles in three independent human LOAD cohorts. By integrating post-mortem brain gene co-expression data from 2114 human samples with LOAD, we developed a novel quantitative, composite phenotype that can better account for the heterogeneity in genetic architecture underlying the disease. We used iterative weighted gene co-expression network analysis (WGCNA) analysis to reduce data dimensionality and to isolate gene sets that are highly co-expressed within disease subtypes and represent specific molecular pathways. We then performed single variant association testing using whole genome-sequencing data for the novel composite phenotype in order to identify genetic loci that contribute to disease heterogeneity. Distinct LOAD subtypes were identified for all three study cohorts (two in ROSMAP, three in Mayo Clinic, two in Mount Sinai Brain Bank). Single variant association analysis identified a genome-wide significant variant in TMEM106B (p-value &lt; 5×10−8, rs1990620G) in the ROSMAP cohort that confers protection from the inflammatory LOAD subtype. Taken together, our novel approach can be used to stratify LOAD into distinct molecular subtypes based on affected disease pathways.","author":[{"dropping-particle":"","family":"Milind","given":"Nikhil","non-dropping-particle":"","parse-names":false,"suffix":""},{"dropping-particle":"","family":"Preuss","given":"Christoph","non-dropping-particle":"","parse-names":false,"suffix":""},{"dropping-particle":"","family":"Haber","given":"Annat","non-dropping-particle":"","parse-names":false,"suffix":""},{"dropping-particle":"","family":"Ananda","given":"Guru","non-dropping-particle":"","parse-names":false,"suffix":""},{"dropping-particle":"","family":"Mukherjee","given":"Shubhabrata","non-dropping-particle":"","parse-names":false,"suffix":""},{"dropping-particle":"","family":"John","given":"Cai","non-dropping-particle":"","parse-names":false,"suffix":""},{"dropping-particle":"","family":"Shapley","given":"Sarah","non-dropping-particle":"","parse-names":false,"suffix":""},{"dropping-particle":"","family":"Tyler","given":"Anna L","non-dropping-particle":"","parse-names":false,"suffix":""},{"dropping-particle":"","family":"Logsdon","given":"Benjamin A","non-dropping-particle":"","parse-names":false,"suffix":""},{"dropping-particle":"","family":"Crane","given":"Paul K","non-dropping-particle":"","parse-names":false,"suffix":""},{"dropping-particle":"","family":"Carter","given":"Gregory W","non-dropping-particle":"","parse-names":false,"suffix":""}],"container-title":"bioRxiv","id":"ITEM-1","issued":{"date-parts":[["2019","9","11"]]},"page":"51404","publisher":"Cold Spring Harbor Laboratory","title":"Transcriptomic Stratification of Late-Onset Alzheimer's Cases Reveals Novel Genetic Modifiers of Disease Pathology","type":"article-journal"},"uris":["http://www.mendeley.com/documents/?uuid=bbce8a1f-d765-3511-a62a-979b59b3e5f5"]}],"mendeley":{"formattedCitation":"[5]","plainTextFormattedCitation":"[5]","previouslyFormattedCitation":"[5]"},"properties":{"noteIndex":0},"schema":"https://github.com/citation-style-language/schema/raw/master/csl-citation.json"}</w:instrText>
      </w:r>
      <w:r w:rsidR="00156E8D">
        <w:fldChar w:fldCharType="separate"/>
      </w:r>
      <w:r w:rsidR="00156E8D" w:rsidRPr="00156E8D">
        <w:rPr>
          <w:noProof/>
        </w:rPr>
        <w:t>[5]</w:t>
      </w:r>
      <w:r w:rsidR="00156E8D">
        <w:fldChar w:fldCharType="end"/>
      </w:r>
      <w:r w:rsidR="00156E8D">
        <w:t>,</w:t>
      </w:r>
      <w:r>
        <w:t xml:space="preserve"> using k-means clustering, yielded two subtypes that largely correspond</w:t>
      </w:r>
      <w:r w:rsidR="00C2752A">
        <w:t>ed</w:t>
      </w:r>
      <w:r>
        <w:t xml:space="preserve"> to our archetypes, with subtype A largely overlapping with archetypes 1 and 2, and subtype B largely overlapping with archetype 3 (Figure 2). Archetype 2 is closer to subtype B than archetype 1</w:t>
      </w:r>
      <w:r w:rsidR="004D529E">
        <w:t xml:space="preserve"> is</w:t>
      </w:r>
      <w:r>
        <w:t>. Chi2 test confirm</w:t>
      </w:r>
      <w:r w:rsidR="00C2752A">
        <w:t>ed</w:t>
      </w:r>
      <w:r>
        <w:t xml:space="preserve"> that these observations </w:t>
      </w:r>
      <w:r w:rsidR="00C2752A">
        <w:t>were</w:t>
      </w:r>
      <w:r>
        <w:t xml:space="preserve"> highly significant (</w:t>
      </w:r>
      <w:r w:rsidR="006815E6">
        <w:t xml:space="preserve">chi2=65.66, </w:t>
      </w:r>
      <w:proofErr w:type="spellStart"/>
      <w:r w:rsidR="006815E6">
        <w:t>df</w:t>
      </w:r>
      <w:proofErr w:type="spellEnd"/>
      <w:r w:rsidR="006815E6">
        <w:t xml:space="preserve">=6, </w:t>
      </w:r>
      <w:r>
        <w:t>p = 3.1613</w:t>
      </w:r>
      <w:r w:rsidRPr="00C01EBC">
        <w:rPr>
          <w:vertAlign w:val="superscript"/>
        </w:rPr>
        <w:t>-12</w:t>
      </w:r>
      <w:r>
        <w:t>) and that archetype</w:t>
      </w:r>
      <w:r w:rsidR="004D529E">
        <w:t xml:space="preserve"> 2 </w:t>
      </w:r>
      <w:r w:rsidR="00C2752A">
        <w:t>was</w:t>
      </w:r>
      <w:r w:rsidR="004D529E">
        <w:t xml:space="preserve"> more of a mix between subtype A and B, </w:t>
      </w:r>
      <w:r w:rsidR="00EB554D">
        <w:t>compared with</w:t>
      </w:r>
      <w:r w:rsidR="004D529E">
        <w:t xml:space="preserve"> archetype 1 and 3, including more control cases as well (Fig S3).</w:t>
      </w:r>
    </w:p>
    <w:p w14:paraId="350B07E0" w14:textId="06ABACF5" w:rsidR="00BF7F5A" w:rsidRDefault="006815E6" w:rsidP="002170C3">
      <w:pPr>
        <w:spacing w:after="120" w:line="360" w:lineRule="auto"/>
      </w:pPr>
      <w:r>
        <w:t>We tested the association between archetypes</w:t>
      </w:r>
      <w:r w:rsidR="00EB26A0">
        <w:t>, sex,</w:t>
      </w:r>
      <w:r>
        <w:t xml:space="preserve"> and </w:t>
      </w:r>
      <w:r w:rsidR="00D56FB4">
        <w:t xml:space="preserve">various clinical variables (clinical diagnosis, </w:t>
      </w:r>
      <w:proofErr w:type="spellStart"/>
      <w:r w:rsidR="00D56FB4">
        <w:t>Braak</w:t>
      </w:r>
      <w:proofErr w:type="spellEnd"/>
      <w:r w:rsidR="00D56FB4">
        <w:t xml:space="preserve"> score, CERAD, and Apoe4 status)</w:t>
      </w:r>
      <w:r w:rsidR="00EB554D">
        <w:t>.</w:t>
      </w:r>
      <w:r w:rsidR="00D56FB4">
        <w:t xml:space="preserve"> </w:t>
      </w:r>
      <w:r w:rsidR="00EB554D">
        <w:t>Sex in itself was not associated with the archetypes (chi</w:t>
      </w:r>
      <w:r w:rsidR="00EB554D" w:rsidRPr="003C7BCB">
        <w:rPr>
          <w:vertAlign w:val="superscript"/>
        </w:rPr>
        <w:t>2</w:t>
      </w:r>
      <w:r w:rsidR="00EB554D">
        <w:t xml:space="preserve">=0.255, </w:t>
      </w:r>
      <w:proofErr w:type="spellStart"/>
      <w:r w:rsidR="00EB554D">
        <w:t>df</w:t>
      </w:r>
      <w:proofErr w:type="spellEnd"/>
      <w:r w:rsidR="00EB554D">
        <w:t xml:space="preserve">=2, p-value=0.88), and neither CERAD and Apoe4 status (Figs. S4-S5). Cognitive score was somewhat significant without conditioning on sex, but the deviations were rather small (Fig 3A). Only </w:t>
      </w:r>
      <w:proofErr w:type="spellStart"/>
      <w:r w:rsidR="00D56FB4">
        <w:t>Braak</w:t>
      </w:r>
      <w:proofErr w:type="spellEnd"/>
      <w:r w:rsidR="00D56FB4">
        <w:t xml:space="preserve"> score was significant </w:t>
      </w:r>
      <w:r w:rsidR="00FC0B5E">
        <w:t xml:space="preserve">with and without conditioning on sex </w:t>
      </w:r>
      <w:r w:rsidR="00D56FB4">
        <w:t>(Fig</w:t>
      </w:r>
      <w:r w:rsidR="00EB554D">
        <w:t>.</w:t>
      </w:r>
      <w:r w:rsidR="00D56FB4">
        <w:t xml:space="preserve"> 3</w:t>
      </w:r>
      <w:r w:rsidR="00EB554D">
        <w:t>B</w:t>
      </w:r>
      <w:r w:rsidR="00D56FB4">
        <w:t>; Cochran-Mantel-</w:t>
      </w:r>
      <w:proofErr w:type="spellStart"/>
      <w:r w:rsidR="00D56FB4">
        <w:t>Haenszel</w:t>
      </w:r>
      <w:proofErr w:type="spellEnd"/>
      <w:r w:rsidR="00D56FB4">
        <w:t xml:space="preserve"> M2=23.834, </w:t>
      </w:r>
      <w:proofErr w:type="spellStart"/>
      <w:r w:rsidR="00D56FB4">
        <w:t>df</w:t>
      </w:r>
      <w:proofErr w:type="spellEnd"/>
      <w:r w:rsidR="00D56FB4">
        <w:t>=12, p=0.</w:t>
      </w:r>
      <w:r w:rsidR="00FC0B5E">
        <w:t>0</w:t>
      </w:r>
      <w:r w:rsidR="00D56FB4">
        <w:t>21</w:t>
      </w:r>
      <w:r w:rsidR="009D2D33">
        <w:t>; chi</w:t>
      </w:r>
      <w:r w:rsidR="009D2D33" w:rsidRPr="003C7BCB">
        <w:rPr>
          <w:vertAlign w:val="superscript"/>
        </w:rPr>
        <w:t>2</w:t>
      </w:r>
      <w:r w:rsidR="009D2D33">
        <w:t xml:space="preserve">=23.6, </w:t>
      </w:r>
      <w:proofErr w:type="spellStart"/>
      <w:r w:rsidR="009D2D33">
        <w:t>df</w:t>
      </w:r>
      <w:proofErr w:type="spellEnd"/>
      <w:r w:rsidR="009D2D33">
        <w:t>=12, p=0.023, respectively</w:t>
      </w:r>
      <w:r w:rsidR="00D56FB4">
        <w:t>).</w:t>
      </w:r>
      <w:r w:rsidR="00FC0B5E">
        <w:t xml:space="preserve"> </w:t>
      </w:r>
      <w:r w:rsidR="009D2D33">
        <w:t xml:space="preserve">Both males and female AD patients </w:t>
      </w:r>
      <w:r w:rsidR="00EB554D">
        <w:t>were</w:t>
      </w:r>
      <w:r w:rsidR="009D2D33">
        <w:t xml:space="preserve"> somewhat over-represented in archetype 1</w:t>
      </w:r>
      <w:r w:rsidR="00EB554D">
        <w:t xml:space="preserve">, based on both cognitive and </w:t>
      </w:r>
      <w:proofErr w:type="spellStart"/>
      <w:r w:rsidR="00EB554D">
        <w:t>Braak</w:t>
      </w:r>
      <w:proofErr w:type="spellEnd"/>
      <w:r w:rsidR="00EB554D">
        <w:t xml:space="preserve"> scores (Fig. 3). Archetype 3 included more control and MCI’s, with females particularly over-represented in cognitive score and males in </w:t>
      </w:r>
      <w:proofErr w:type="spellStart"/>
      <w:r w:rsidR="00EB554D">
        <w:t>Braak</w:t>
      </w:r>
      <w:proofErr w:type="spellEnd"/>
      <w:r w:rsidR="00EB554D">
        <w:t xml:space="preserve"> score. Archetype 2 is somewhat in between, being again more of an equal mix.</w:t>
      </w:r>
      <w:r w:rsidR="00680C09">
        <w:t xml:space="preserve"> Although the deviations </w:t>
      </w:r>
      <w:r w:rsidR="00C2752A">
        <w:t>were</w:t>
      </w:r>
      <w:r w:rsidR="00680C09">
        <w:t xml:space="preserve"> small and non-significant, associations of CERAD and Apoe4 with sex and archetypes were in </w:t>
      </w:r>
      <w:r w:rsidR="00F843D5">
        <w:t>accord</w:t>
      </w:r>
      <w:r w:rsidR="00680C09">
        <w:t xml:space="preserve"> with the observation that archetype 1 include</w:t>
      </w:r>
      <w:r w:rsidR="00C2752A">
        <w:t>d</w:t>
      </w:r>
      <w:r w:rsidR="00680C09">
        <w:t xml:space="preserve"> more cases of advanced and high-risk AD patients, particularly females, archetype 3 include</w:t>
      </w:r>
      <w:r w:rsidR="00C2752A">
        <w:t>d</w:t>
      </w:r>
      <w:r w:rsidR="00680C09">
        <w:t xml:space="preserve"> more cases of early and low-risk patients, while archetype 2 </w:t>
      </w:r>
      <w:r w:rsidR="00C2752A">
        <w:t>was</w:t>
      </w:r>
      <w:r w:rsidR="00680C09">
        <w:t xml:space="preserve"> a mix</w:t>
      </w:r>
      <w:r w:rsidR="00F843D5">
        <w:t xml:space="preserve"> (Figs. S4-S5)</w:t>
      </w:r>
      <w:r w:rsidR="00680C09">
        <w:t>.</w:t>
      </w:r>
    </w:p>
    <w:p w14:paraId="0255C568" w14:textId="7F59877C" w:rsidR="00C2752A" w:rsidRDefault="00C2752A" w:rsidP="002170C3">
      <w:pPr>
        <w:spacing w:after="120" w:line="360" w:lineRule="auto"/>
      </w:pPr>
      <w:r>
        <w:t xml:space="preserve">To further explore the association of the archetypes with levels of disease, we compared </w:t>
      </w:r>
      <w:r w:rsidR="00156E8D">
        <w:t xml:space="preserve">our results with </w:t>
      </w:r>
      <w:r w:rsidR="00B56C1E">
        <w:t xml:space="preserve">previously-published </w:t>
      </w:r>
      <w:proofErr w:type="spellStart"/>
      <w:r w:rsidR="00B56C1E">
        <w:t>pseudotime</w:t>
      </w:r>
      <w:proofErr w:type="spellEnd"/>
      <w:r w:rsidR="00B56C1E">
        <w:t xml:space="preserve"> estimates </w:t>
      </w:r>
      <w:r w:rsidR="00156E8D">
        <w:fldChar w:fldCharType="begin" w:fldLock="1"/>
      </w:r>
      <w:r w:rsidR="008179DC">
        <w:instrText>ADDIN CSL_CITATION {"citationItems":[{"id":"ITEM-1","itemData":{"DOI":"10.1101/686824","abstract":"Therapeutic treatments for late-onset Alzheimer’s disease (LOAD) are hindered by an incomplete understanding of the temporal molecular changes that lead to disease onset and progression. Here, we evaluate the ability of manifold learning to develop a molecular model for the unobserved temporal disease progression from RNA-Seq data collected from human postmortem brain samples collected within the ROS/MAP and Mayo Clinic RNA-Seq studies of the AMP-AD consortium. This approach defines a cross-sectional ordering across samples based on their relative similarity in RNA-Seq profiles and uses this information to define an estimate of molecular disease stage – or disease progression pseudotime - for each sample. This transcriptional estimate of disease progression is strongly concordant with burden of tau pathology (Braak score, P = 1.0×10−5), amyloid pathology (CERAD score, P = 1.8×10−5), and cognitive diagnosis (P = 3.5×10−7) of LOAD. Further, the disease progression estimate recapitulates known changes in cell type abundance and impact of genes that harbor known AD risk loci. Samples estimated to reside early in disease progression were enriched for control and early stage AD cases, and demonstrated changes in basic cellular functions. Samples estimated to reside late in disease progression were enriched for late-stage AD cases, and demonstrated changes in known disease processes including neuroinflammation and amyloid pathology. We also identified a set of control samples with late-stage estimated disease progression who also showed compensatory changes in genes involved in affected pathways are protein trafficking, splicing, regulation of apoptosis, and prevention of amyloid cleavage. In summary, we present a disease specific method for ordering patients based on their LOAD disease progression from CNS transcriptomic data.","author":[{"dropping-particle":"","family":"Mukherjee","given":"Sumit","non-dropping-particle":"","parse-names":false,"suffix":""},{"dropping-particle":"","family":"Preuss","given":"Christoph","non-dropping-particle":"","parse-names":false,"suffix":""},{"dropping-particle":"","family":"Jayadev","given":"Suman","non-dropping-particle":"","parse-names":false,"suffix":""},{"dropping-particle":"","family":"Garden","given":"Gwenn","non-dropping-particle":"","parse-names":false,"suffix":""},{"dropping-particle":"","family":"Greenwood","given":"Anna K","non-dropping-particle":"","parse-names":false,"suffix":""},{"dropping-particle":"","family":"Sieberts","given":"Solveig K","non-dropping-particle":"","parse-names":false,"suffix":""},{"dropping-particle":"De","family":"Jager","given":"Phillip L","non-dropping-particle":"","parse-names":false,"suffix":""},{"dropping-particle":"","family":"Eretkin-Taner","given":"Nilufer","non-dropping-particle":"","parse-names":false,"suffix":""},{"dropping-particle":"","family":"Carter","given":"Gregory W","non-dropping-particle":"","parse-names":false,"suffix":""},{"dropping-particle":"","family":"Mangravite","given":"Lara M","non-dropping-particle":"","parse-names":false,"suffix":""},{"dropping-particle":"","family":"Logsdon","given":"Benjamin A","non-dropping-particle":"","parse-names":false,"suffix":""}],"container-title":"bioRxiv","id":"ITEM-1","issued":{"date-parts":[["2019","6","28"]]},"page":"686824","publisher":"Cold Spring Harbor Laboratory","title":"Molecular estimation of neurodegeneration pseudotime in older brains","type":"article-journal"},"uris":["http://www.mendeley.com/documents/?uuid=4ed631ef-8370-3e6b-9a62-8977dd1c6cbe"]}],"mendeley":{"formattedCitation":"[8]","plainTextFormattedCitation":"[8]","previouslyFormattedCitation":"[8]"},"properties":{"noteIndex":0},"schema":"https://github.com/citation-style-language/schema/raw/master/csl-citation.json"}</w:instrText>
      </w:r>
      <w:r w:rsidR="00156E8D">
        <w:fldChar w:fldCharType="separate"/>
      </w:r>
      <w:r w:rsidR="00156E8D" w:rsidRPr="00156E8D">
        <w:rPr>
          <w:noProof/>
        </w:rPr>
        <w:t>[8]</w:t>
      </w:r>
      <w:r w:rsidR="00156E8D">
        <w:fldChar w:fldCharType="end"/>
      </w:r>
      <w:r w:rsidR="00B56C1E">
        <w:t>. Figure 4 shows</w:t>
      </w:r>
      <w:r>
        <w:t xml:space="preserve"> </w:t>
      </w:r>
      <w:r w:rsidR="00102E0F">
        <w:t xml:space="preserve">the association </w:t>
      </w:r>
      <w:r w:rsidR="00156E8D">
        <w:t xml:space="preserve">between </w:t>
      </w:r>
      <w:proofErr w:type="spellStart"/>
      <w:r w:rsidR="00156E8D">
        <w:t>pseudotime</w:t>
      </w:r>
      <w:proofErr w:type="spellEnd"/>
      <w:r w:rsidR="00156E8D">
        <w:t xml:space="preserve"> estimates and the</w:t>
      </w:r>
      <w:r w:rsidR="00102E0F">
        <w:t xml:space="preserve"> categorical </w:t>
      </w:r>
      <w:r w:rsidR="00B56C1E">
        <w:t xml:space="preserve">assignments of samples to the nearest archetype. Figure S6 shows the </w:t>
      </w:r>
      <w:r w:rsidR="00156E8D">
        <w:t xml:space="preserve">same </w:t>
      </w:r>
      <w:r w:rsidR="00102E0F">
        <w:t xml:space="preserve">association using </w:t>
      </w:r>
      <w:r w:rsidR="00B56C1E">
        <w:t>distance</w:t>
      </w:r>
      <w:r w:rsidR="00102E0F">
        <w:t xml:space="preserve">s of </w:t>
      </w:r>
      <w:r w:rsidR="00156E8D">
        <w:t>samples</w:t>
      </w:r>
      <w:r w:rsidR="00102E0F">
        <w:t xml:space="preserve"> from </w:t>
      </w:r>
      <w:r w:rsidR="00156E8D">
        <w:t xml:space="preserve">each </w:t>
      </w:r>
      <w:r w:rsidR="00102E0F">
        <w:t>archetype</w:t>
      </w:r>
      <w:r w:rsidR="00B56C1E">
        <w:t xml:space="preserve">. Using either discreet assignment or distances, </w:t>
      </w:r>
      <w:r w:rsidR="00E7162C">
        <w:t xml:space="preserve">we found that </w:t>
      </w:r>
      <w:r w:rsidR="00B56C1E">
        <w:t xml:space="preserve">archetype 1 </w:t>
      </w:r>
      <w:r w:rsidR="00E7162C">
        <w:t xml:space="preserve">was </w:t>
      </w:r>
      <w:r w:rsidR="00B56C1E">
        <w:t xml:space="preserve">associated with higher </w:t>
      </w:r>
      <w:proofErr w:type="spellStart"/>
      <w:r w:rsidR="00B56C1E">
        <w:t>pseudotime</w:t>
      </w:r>
      <w:proofErr w:type="spellEnd"/>
      <w:r w:rsidR="00B56C1E">
        <w:t xml:space="preserve"> estimates, presumably reflecting more advances stages of AD, archetype 3 </w:t>
      </w:r>
      <w:r w:rsidR="00E7162C">
        <w:t xml:space="preserve">was </w:t>
      </w:r>
      <w:r w:rsidR="00B56C1E">
        <w:t xml:space="preserve">associated with lower </w:t>
      </w:r>
      <w:proofErr w:type="spellStart"/>
      <w:r w:rsidR="00B56C1E">
        <w:t>pseudotime</w:t>
      </w:r>
      <w:proofErr w:type="spellEnd"/>
      <w:r w:rsidR="00B56C1E">
        <w:t xml:space="preserve"> estimates, while archetype 2 </w:t>
      </w:r>
      <w:r w:rsidR="00E7162C">
        <w:t>was</w:t>
      </w:r>
      <w:r w:rsidR="00B56C1E">
        <w:t xml:space="preserve"> in between.</w:t>
      </w:r>
    </w:p>
    <w:p w14:paraId="0C6886B0" w14:textId="12FD56FB" w:rsidR="00F93A79" w:rsidRPr="00F93A79" w:rsidRDefault="00F93A79" w:rsidP="002170C3">
      <w:pPr>
        <w:spacing w:after="120" w:line="360" w:lineRule="auto"/>
        <w:rPr>
          <w:b/>
          <w:bCs/>
        </w:rPr>
      </w:pPr>
      <w:r w:rsidRPr="00F93A79">
        <w:rPr>
          <w:b/>
          <w:bCs/>
        </w:rPr>
        <w:lastRenderedPageBreak/>
        <w:t>Annotation of Genes Associated with the Archetypes</w:t>
      </w:r>
    </w:p>
    <w:p w14:paraId="61B876CD" w14:textId="6091CBFF" w:rsidR="00680C09" w:rsidRDefault="003C30AD" w:rsidP="002170C3">
      <w:pPr>
        <w:spacing w:after="120" w:line="360" w:lineRule="auto"/>
      </w:pPr>
      <w:r>
        <w:t xml:space="preserve">In order to study the differences between archetypes in their gene expression, we looked for genes whose expression level was decreasing </w:t>
      </w:r>
      <w:r w:rsidR="00BF71F4">
        <w:t xml:space="preserve">significantly as a </w:t>
      </w:r>
      <w:r>
        <w:t xml:space="preserve">function of distance from each archetype. Out of about 15000 genes </w:t>
      </w:r>
      <w:r w:rsidR="00BF71F4">
        <w:t xml:space="preserve">included </w:t>
      </w:r>
      <w:r>
        <w:t xml:space="preserve">in the original dataset, we found </w:t>
      </w:r>
      <w:r w:rsidRPr="003C30AD">
        <w:t>626</w:t>
      </w:r>
      <w:r w:rsidR="00EE0250">
        <w:t xml:space="preserve"> genes associated with archetype 1</w:t>
      </w:r>
      <w:r>
        <w:t xml:space="preserve">, </w:t>
      </w:r>
      <w:r w:rsidRPr="003C30AD">
        <w:t>551</w:t>
      </w:r>
      <w:r w:rsidR="00EE0250">
        <w:t xml:space="preserve"> with archetype 2</w:t>
      </w:r>
      <w:r>
        <w:t xml:space="preserve">, and </w:t>
      </w:r>
      <w:r w:rsidRPr="003C30AD">
        <w:t>1538</w:t>
      </w:r>
      <w:r w:rsidR="00EE0250">
        <w:t xml:space="preserve"> with</w:t>
      </w:r>
      <w:r>
        <w:t xml:space="preserve"> archetype 3, with minimal overlap between the gene sets. </w:t>
      </w:r>
      <w:r w:rsidR="00532837">
        <w:t>Only 8 genes overlapped between archetype 1 and 2, one gene overlapped between archetype 2 and 3, and none between archetype 1 and 3.</w:t>
      </w:r>
    </w:p>
    <w:p w14:paraId="51C7C100" w14:textId="0EF24A35" w:rsidR="00532837" w:rsidRDefault="00532837" w:rsidP="002170C3">
      <w:pPr>
        <w:spacing w:after="120" w:line="360" w:lineRule="auto"/>
      </w:pPr>
      <w:r>
        <w:t>GO enrichment analysis revealed a distinct functional enrichment signal for each archetype (Figure 5</w:t>
      </w:r>
      <w:r w:rsidR="00AD4E17">
        <w:t>, table S#</w:t>
      </w:r>
      <w:r>
        <w:t xml:space="preserve">). </w:t>
      </w:r>
      <w:r w:rsidR="008A3D3C">
        <w:t xml:space="preserve">The gene set of </w:t>
      </w:r>
      <w:proofErr w:type="gramStart"/>
      <w:r w:rsidR="008A3D3C">
        <w:t>a</w:t>
      </w:r>
      <w:r>
        <w:t>rchetype</w:t>
      </w:r>
      <w:proofErr w:type="gramEnd"/>
      <w:r>
        <w:t xml:space="preserve"> 1 was enriched for GO terms related to immune function and inflammation</w:t>
      </w:r>
      <w:r w:rsidR="008A3D3C">
        <w:t>. Archetype 2 had a mix of functions over-represented in its gene set, including basic cell functions and metabolic processes associated specifically with the generation and maintenance of glial cells.</w:t>
      </w:r>
      <w:r w:rsidR="00CC3AEE">
        <w:t xml:space="preserve"> Archetype 3 was clearly associated with neuronal function and trans-synapt</w:t>
      </w:r>
      <w:r w:rsidR="00527745">
        <w:t>i</w:t>
      </w:r>
      <w:r w:rsidR="00CC3AEE">
        <w:t>c signaling.</w:t>
      </w:r>
    </w:p>
    <w:p w14:paraId="0937B86E" w14:textId="49961C81" w:rsidR="0069019E" w:rsidRDefault="00CC3AEE" w:rsidP="002170C3">
      <w:pPr>
        <w:spacing w:after="120" w:line="360" w:lineRule="auto"/>
      </w:pPr>
      <w:r>
        <w:t>We further annotated the gene sets of each archetype by comparing them to previously-published cell-specific markers</w:t>
      </w:r>
      <w:r w:rsidR="008179DC">
        <w:t xml:space="preserve"> </w:t>
      </w:r>
      <w:r w:rsidR="008179DC">
        <w:fldChar w:fldCharType="begin" w:fldLock="1"/>
      </w:r>
      <w:r w:rsidR="008179DC">
        <w:instrText>ADDIN CSL_CITATION {"citationItems":[{"id":"ITEM-1","itemData":{"DOI":"10.1038/s41598-018-27293-5","ISSN":"2045-2322","abstract":"Elucidating brain cell type specific gene expression patterns is critical towards a better understanding of how cell-cell communications may influence brain functions and dysfunctions. We set out to compare and contrast five human and murine cell type-specific transcriptome-wide RNA expression data sets that were generated within the past several years. We defined three measures of brain cell type-relative expression including specificity, enrichment, and absolute expression and identified corresponding consensus brain cell “signatures,” which were well conserved across data sets. We validated that the relative expression of top cell type markers are associated with proxies for cell type proportions in bulk RNA expression data from postmortem human brain samples. We further validated novel marker genes using an orthogonal ATAC-seq dataset. We performed multiscale coexpression network analysis of the single cell data sets and identified robust cell-specific gene modules. To facilitate the use of the cell type-specific genes for cell type proportion estimation and deconvolution from bulk brain gene expression data, we developed an R package, BRETIGEA. In summary, we identified a set of novel brain cell consensus signatures and robust networks from the integration of multiple datasets and therefore transcend limitations related to technical issues characteristic of each individual study.","author":[{"dropping-particle":"","family":"McKenzie","given":"Andrew T.","non-dropping-particle":"","parse-names":false,"suffix":""},{"dropping-particle":"","family":"Wang","given":"Minghui","non-dropping-particle":"","parse-names":false,"suffix":""},{"dropping-particle":"","family":"Hauberg","given":"Mads E.","non-dropping-particle":"","parse-names":false,"suffix":""},{"dropping-particle":"","family":"Fullard","given":"John F.","non-dropping-particle":"","parse-names":false,"suffix":""},{"dropping-particle":"","family":"Kozlenkov","given":"Alexey","non-dropping-particle":"","parse-names":false,"suffix":""},{"dropping-particle":"","family":"Keenan","given":"Alexandra","non-dropping-particle":"","parse-names":false,"suffix":""},{"dropping-particle":"","family":"Hurd","given":"Yasmin L.","non-dropping-particle":"","parse-names":false,"suffix":""},{"dropping-particle":"","family":"Dracheva","given":"Stella","non-dropping-particle":"","parse-names":false,"suffix":""},{"dropping-particle":"","family":"Casaccia","given":"Patrizia","non-dropping-particle":"","parse-names":false,"suffix":""},{"dropping-particle":"","family":"Roussos","given":"Panos","non-dropping-particle":"","parse-names":false,"suffix":""},{"dropping-particle":"","family":"Zhang","given":"Bin","non-dropping-particle":"","parse-names":false,"suffix":""}],"container-title":"Scientific Reports","id":"ITEM-1","issue":"1","issued":{"date-parts":[["2018","12","11"]]},"page":"8868","publisher":"Nature Publishing Group","title":"Brain Cell Type Specific Gene Expression and Co-expression Network Architectures","type":"article-journal","volume":"8"},"uris":["http://www.mendeley.com/documents/?uuid=9fcc5e9a-6aa9-3258-8ac4-cb38548e361a"]}],"mendeley":{"formattedCitation":"[16]","plainTextFormattedCitation":"[16]","previouslyFormattedCitation":"[16]"},"properties":{"noteIndex":0},"schema":"https://github.com/citation-style-language/schema/raw/master/csl-citation.json"}</w:instrText>
      </w:r>
      <w:r w:rsidR="008179DC">
        <w:fldChar w:fldCharType="separate"/>
      </w:r>
      <w:r w:rsidR="008179DC" w:rsidRPr="008179DC">
        <w:rPr>
          <w:noProof/>
        </w:rPr>
        <w:t>[16]</w:t>
      </w:r>
      <w:r w:rsidR="008179DC">
        <w:fldChar w:fldCharType="end"/>
      </w:r>
      <w:r>
        <w:t>. Again, we found a clear and significant distinction between the archetype</w:t>
      </w:r>
      <w:r w:rsidR="00D414DF">
        <w:t>s</w:t>
      </w:r>
      <w:r w:rsidR="002D46F4">
        <w:t xml:space="preserve"> (Figure 6)</w:t>
      </w:r>
      <w:r>
        <w:t xml:space="preserve">. In accord with the GO enrichment analysis, archetype 1 was highly associated with endothelial cells and microglia, archetype 2 with oligodendrocytes and </w:t>
      </w:r>
      <w:r w:rsidR="00527745">
        <w:t>astrocytes, and archetype 3 with neurons.</w:t>
      </w:r>
    </w:p>
    <w:p w14:paraId="49443EB8" w14:textId="2D929D92" w:rsidR="00804E1C" w:rsidRDefault="0076172B" w:rsidP="002170C3">
      <w:pPr>
        <w:spacing w:after="120" w:line="360" w:lineRule="auto"/>
      </w:pPr>
      <w:r>
        <w:t>The archetype gene set overlapped greatly with gene expression modules and submodules previously estimated for the same cohort</w:t>
      </w:r>
      <w:r w:rsidR="008179DC">
        <w:t xml:space="preserve"> by </w:t>
      </w:r>
      <w:r w:rsidR="008179DC">
        <w:fldChar w:fldCharType="begin" w:fldLock="1"/>
      </w:r>
      <w:r w:rsidR="007528A8">
        <w:instrText>ADDIN CSL_CITATION {"citationItems":[{"id":"ITEM-1","itemData":{"DOI":"10.1101/763516","abstract":"Late-Onset Alzheimer’s disease (LOAD) is a common, complex genetic disorder well-known for its heterogeneous pathology. The genetic heterogeneity underlying common complex diseases poses a major challenge for targeted therapies and the identification of novel disease-associated variants. Case-control approaches are often limited to examining a specific outcome in a group of heterogenous patients with different clinical characteristics. Here, we developed a novel approach to define relevant transcriptomic endophenotypes and stratify decedents based on molecular profiles in three independent human LOAD cohorts. By integrating post-mortem brain gene co-expression data from 2114 human samples with LOAD, we developed a novel quantitative, composite phenotype that can better account for the heterogeneity in genetic architecture underlying the disease. We used iterative weighted gene co-expression network analysis (WGCNA) analysis to reduce data dimensionality and to isolate gene sets that are highly co-expressed within disease subtypes and represent specific molecular pathways. We then performed single variant association testing using whole genome-sequencing data for the novel composite phenotype in order to identify genetic loci that contribute to disease heterogeneity. Distinct LOAD subtypes were identified for all three study cohorts (two in ROSMAP, three in Mayo Clinic, two in Mount Sinai Brain Bank). Single variant association analysis identified a genome-wide significant variant in TMEM106B (p-value &lt; 5×10−8, rs1990620G) in the ROSMAP cohort that confers protection from the inflammatory LOAD subtype. Taken together, our novel approach can be used to stratify LOAD into distinct molecular subtypes based on affected disease pathways.","author":[{"dropping-particle":"","family":"Milind","given":"Nikhil","non-dropping-particle":"","parse-names":false,"suffix":""},{"dropping-particle":"","family":"Preuss","given":"Christoph","non-dropping-particle":"","parse-names":false,"suffix":""},{"dropping-particle":"","family":"Haber","given":"Annat","non-dropping-particle":"","parse-names":false,"suffix":""},{"dropping-particle":"","family":"Ananda","given":"Guru","non-dropping-particle":"","parse-names":false,"suffix":""},{"dropping-particle":"","family":"Mukherjee","given":"Shubhabrata","non-dropping-particle":"","parse-names":false,"suffix":""},{"dropping-particle":"","family":"John","given":"Cai","non-dropping-particle":"","parse-names":false,"suffix":""},{"dropping-particle":"","family":"Shapley","given":"Sarah","non-dropping-particle":"","parse-names":false,"suffix":""},{"dropping-particle":"","family":"Tyler","given":"Anna L","non-dropping-particle":"","parse-names":false,"suffix":""},{"dropping-particle":"","family":"Logsdon","given":"Benjamin A","non-dropping-particle":"","parse-names":false,"suffix":""},{"dropping-particle":"","family":"Crane","given":"Paul K","non-dropping-particle":"","parse-names":false,"suffix":""},{"dropping-particle":"","family":"Carter","given":"Gregory W","non-dropping-particle":"","parse-names":false,"suffix":""}],"container-title":"bioRxiv","id":"ITEM-1","issued":{"date-parts":[["2019","9","11"]]},"page":"51404","publisher":"Cold Spring Harbor Laboratory","title":"Transcriptomic Stratification of Late-Onset Alzheimer's Cases Reveals Novel Genetic Modifiers of Disease Pathology","type":"article-journal"},"uris":["http://www.mendeley.com/documents/?uuid=bbce8a1f-d765-3511-a62a-979b59b3e5f5"]}],"mendeley":{"formattedCitation":"[5]","plainTextFormattedCitation":"[5]","previouslyFormattedCitation":"[5]"},"properties":{"noteIndex":0},"schema":"https://github.com/citation-style-language/schema/raw/master/csl-citation.json"}</w:instrText>
      </w:r>
      <w:r w:rsidR="008179DC">
        <w:fldChar w:fldCharType="separate"/>
      </w:r>
      <w:r w:rsidR="008179DC" w:rsidRPr="008179DC">
        <w:rPr>
          <w:noProof/>
        </w:rPr>
        <w:t>[5]</w:t>
      </w:r>
      <w:r w:rsidR="008179DC">
        <w:fldChar w:fldCharType="end"/>
      </w:r>
      <w:r>
        <w:t>. 80% of the archetype genes were included in one of the modules, and 62% in one of the submodules. In accord with their independent annotation, archetype 1 included mostly inflammatory-related submodules, archetype 2 included generation and maintenance of glial cells, and archetype 3 comprised largely of one module related to neuronal function and synaptic signaling</w:t>
      </w:r>
      <w:r w:rsidR="002D46F4">
        <w:t xml:space="preserve"> (Figure 7)</w:t>
      </w:r>
      <w:r>
        <w:t>.</w:t>
      </w:r>
    </w:p>
    <w:p w14:paraId="75896A10" w14:textId="77777777" w:rsidR="005E1B4A" w:rsidRDefault="005E1B4A" w:rsidP="002170C3">
      <w:pPr>
        <w:spacing w:after="120" w:line="360" w:lineRule="auto"/>
        <w:rPr>
          <w:b/>
          <w:bCs/>
        </w:rPr>
      </w:pPr>
    </w:p>
    <w:p w14:paraId="374DB282" w14:textId="384ACEDF" w:rsidR="005E1B4A" w:rsidRDefault="005E1B4A" w:rsidP="002170C3">
      <w:pPr>
        <w:spacing w:after="120" w:line="360" w:lineRule="auto"/>
        <w:rPr>
          <w:b/>
          <w:bCs/>
        </w:rPr>
      </w:pPr>
      <w:r w:rsidRPr="005E1B4A">
        <w:rPr>
          <w:b/>
          <w:bCs/>
        </w:rPr>
        <w:t xml:space="preserve">Single-Variant Mapping of Archetype Specificity </w:t>
      </w:r>
    </w:p>
    <w:p w14:paraId="57D8BD1D" w14:textId="3C48E522" w:rsidR="0039748E" w:rsidRPr="00C35C36" w:rsidRDefault="0093604A" w:rsidP="002170C3">
      <w:pPr>
        <w:spacing w:after="120" w:line="360" w:lineRule="auto"/>
        <w:rPr>
          <w:rFonts w:cstheme="minorHAnsi"/>
        </w:rPr>
      </w:pPr>
      <w:r w:rsidRPr="00C35C36">
        <w:rPr>
          <w:rFonts w:cstheme="minorHAnsi"/>
        </w:rPr>
        <w:lastRenderedPageBreak/>
        <w:t>We generated 4 new phenotypes for each patient</w:t>
      </w:r>
      <w:r w:rsidR="0039748E" w:rsidRPr="00C35C36">
        <w:rPr>
          <w:rFonts w:cstheme="minorHAnsi"/>
        </w:rPr>
        <w:t xml:space="preserve"> based on the archetype analysis</w:t>
      </w:r>
      <w:r w:rsidRPr="00C35C36">
        <w:rPr>
          <w:rFonts w:cstheme="minorHAnsi"/>
        </w:rPr>
        <w:t xml:space="preserve">, specifying their distance from each of the archetype as well as their classification to the nearest archetype, and mapped each of them to their whole-genome sequence data using EMMAX </w:t>
      </w:r>
      <w:r w:rsidR="007528A8">
        <w:rPr>
          <w:rFonts w:cstheme="minorHAnsi"/>
        </w:rPr>
        <w:fldChar w:fldCharType="begin" w:fldLock="1"/>
      </w:r>
      <w:r w:rsidR="007528A8">
        <w:rPr>
          <w:rFonts w:cstheme="minorHAnsi"/>
        </w:rPr>
        <w:instrText>ADDIN CSL_CITATION {"citationItems":[{"id":"ITEM-1","itemData":{"DOI":"10.1038/ng.548","abstract":"Although genome-wide association studies (GWASs) have identified numerous loci associated with complex traits, imprecise modeling of the genetic relatedness within study samples may cause substantial inflation of test statistics and possibly spurious associations. Variance component approaches, such as efficient mixed-model association (EMMA), can correct for a wide range of sample structures by explicitly accounting for pairwise relatedness between individuals, using high-density markers to model the phenotype distribution; but such approaches are computationally impractical. We report here a variance component approach implemented in publicly available software, EMMA eXpedited (EMMAX), that reduces the computational time for analyzing large GWAS data sets from years to hours. We apply this method to two human GWAS data sets, performing association analysis for ten quantitative traits from the Northern Finland Birth Cohort and seven common diseases from the Wellcome Trust Case Control Consortium. We find that EMMAX outperforms both principal component analysis and genomic control in correcting for sample structure.","author":[{"dropping-particle":"","family":"Kang","given":"Hyun Min","non-dropping-particle":"","parse-names":false,"suffix":""},{"dropping-particle":"","family":"Sul","given":"Jae Hoon","non-dropping-particle":"","parse-names":false,"suffix":""},{"dropping-particle":"","family":"Service","given":"Susan K","non-dropping-particle":"","parse-names":false,"suffix":""},{"dropping-particle":"","family":"Zaitlen","given":"Noah A","non-dropping-particle":"","parse-names":false,"suffix":""},{"dropping-particle":"","family":"Kong","given":"Sit-Yee","non-dropping-particle":"","parse-names":false,"suffix":""},{"dropping-particle":"","family":"Freimer","given":"Nelson B","non-dropping-particle":"","parse-names":false,"suffix":""},{"dropping-particle":"","family":"Sabatti","given":"Chiara","non-dropping-particle":"","parse-names":false,"suffix":""},{"dropping-particle":"","family":"Eskin","given":"Eleazar","non-dropping-particle":"","parse-names":false,"suffix":""}],"container-title":"Nature Genetics","id":"ITEM-1","issue":"4","issued":{"date-parts":[["2010"]]},"page":"348-354","title":"Variance component model to account for sample structure in genome-wide association studies","type":"article-journal","volume":"42"},"uris":["http://www.mendeley.com/documents/?uuid=d503f1ba-449b-4bfc-a1ff-6c804b0009f6"]}],"mendeley":{"formattedCitation":"[17]","plainTextFormattedCitation":"[17]","previouslyFormattedCitation":"[17]"},"properties":{"noteIndex":0},"schema":"https://github.com/citation-style-language/schema/raw/master/csl-citation.json"}</w:instrText>
      </w:r>
      <w:r w:rsidR="007528A8">
        <w:rPr>
          <w:rFonts w:cstheme="minorHAnsi"/>
        </w:rPr>
        <w:fldChar w:fldCharType="separate"/>
      </w:r>
      <w:r w:rsidR="007528A8" w:rsidRPr="007528A8">
        <w:rPr>
          <w:rFonts w:cstheme="minorHAnsi"/>
          <w:noProof/>
        </w:rPr>
        <w:t>[17]</w:t>
      </w:r>
      <w:r w:rsidR="007528A8">
        <w:rPr>
          <w:rFonts w:cstheme="minorHAnsi"/>
        </w:rPr>
        <w:fldChar w:fldCharType="end"/>
      </w:r>
      <w:r w:rsidRPr="00C35C36">
        <w:rPr>
          <w:rFonts w:cstheme="minorHAnsi"/>
        </w:rPr>
        <w:t xml:space="preserve">. QQ plots </w:t>
      </w:r>
      <w:r w:rsidR="00091A7B" w:rsidRPr="00C35C36">
        <w:rPr>
          <w:rFonts w:cstheme="minorHAnsi"/>
        </w:rPr>
        <w:t xml:space="preserve">indicate minimal effects of genomic inflation and population substructure on our analyses (Figure S7). While we did not find </w:t>
      </w:r>
      <w:proofErr w:type="spellStart"/>
      <w:r w:rsidR="00091A7B" w:rsidRPr="00C35C36">
        <w:rPr>
          <w:rFonts w:cstheme="minorHAnsi"/>
        </w:rPr>
        <w:t>snps</w:t>
      </w:r>
      <w:proofErr w:type="spellEnd"/>
      <w:r w:rsidR="00091A7B" w:rsidRPr="00C35C36">
        <w:rPr>
          <w:rFonts w:cstheme="minorHAnsi"/>
        </w:rPr>
        <w:t xml:space="preserve"> significant at p-value &lt; 5x10</w:t>
      </w:r>
      <w:r w:rsidR="00091A7B" w:rsidRPr="00C35C36">
        <w:rPr>
          <w:rFonts w:cstheme="minorHAnsi"/>
          <w:vertAlign w:val="superscript"/>
        </w:rPr>
        <w:t>-8</w:t>
      </w:r>
      <w:r w:rsidR="00091A7B" w:rsidRPr="00C35C36">
        <w:rPr>
          <w:rFonts w:cstheme="minorHAnsi"/>
        </w:rPr>
        <w:t xml:space="preserve"> level, numerous </w:t>
      </w:r>
      <w:proofErr w:type="spellStart"/>
      <w:r w:rsidR="00091A7B" w:rsidRPr="00C35C36">
        <w:rPr>
          <w:rFonts w:cstheme="minorHAnsi"/>
        </w:rPr>
        <w:t>snps</w:t>
      </w:r>
      <w:proofErr w:type="spellEnd"/>
      <w:r w:rsidR="00091A7B" w:rsidRPr="00C35C36">
        <w:rPr>
          <w:rFonts w:cstheme="minorHAnsi"/>
        </w:rPr>
        <w:t xml:space="preserve"> were suggestive at p-value &lt; 1x10</w:t>
      </w:r>
      <w:r w:rsidR="00091A7B" w:rsidRPr="00C35C36">
        <w:rPr>
          <w:rFonts w:cstheme="minorHAnsi"/>
          <w:vertAlign w:val="superscript"/>
        </w:rPr>
        <w:t>-5</w:t>
      </w:r>
      <w:r w:rsidR="00091A7B" w:rsidRPr="00C35C36">
        <w:rPr>
          <w:rFonts w:cstheme="minorHAnsi"/>
        </w:rPr>
        <w:t xml:space="preserve"> level</w:t>
      </w:r>
      <w:r w:rsidR="004F6A04" w:rsidRPr="00C35C36">
        <w:rPr>
          <w:rFonts w:cstheme="minorHAnsi"/>
        </w:rPr>
        <w:t>, many of which mapped to genes that are involved in the development and function of the central nervous system</w:t>
      </w:r>
      <w:r w:rsidR="00851148">
        <w:rPr>
          <w:rFonts w:cstheme="minorHAnsi"/>
        </w:rPr>
        <w:t xml:space="preserve"> (Table</w:t>
      </w:r>
      <w:r w:rsidR="000917BD">
        <w:rPr>
          <w:rFonts w:cstheme="minorHAnsi"/>
        </w:rPr>
        <w:t>s</w:t>
      </w:r>
      <w:r w:rsidR="00851148">
        <w:rPr>
          <w:rFonts w:cstheme="minorHAnsi"/>
        </w:rPr>
        <w:t xml:space="preserve"> S###</w:t>
      </w:r>
      <w:r w:rsidR="000917BD">
        <w:rPr>
          <w:rFonts w:cstheme="minorHAnsi"/>
        </w:rPr>
        <w:t xml:space="preserve"> FUMA+NHGRI</w:t>
      </w:r>
      <w:r w:rsidR="00851148">
        <w:rPr>
          <w:rFonts w:cstheme="minorHAnsi"/>
        </w:rPr>
        <w:t>)</w:t>
      </w:r>
      <w:r w:rsidR="00091A7B" w:rsidRPr="00C35C36">
        <w:rPr>
          <w:rFonts w:cstheme="minorHAnsi"/>
        </w:rPr>
        <w:t>.</w:t>
      </w:r>
    </w:p>
    <w:p w14:paraId="07E776F8" w14:textId="403E2239" w:rsidR="00C35C36" w:rsidRDefault="004F6A04" w:rsidP="002170C3">
      <w:pPr>
        <w:spacing w:after="120" w:line="360" w:lineRule="auto"/>
        <w:rPr>
          <w:rFonts w:eastAsia="Times New Roman" w:cstheme="minorHAnsi"/>
        </w:rPr>
      </w:pPr>
      <w:r w:rsidRPr="00C35C36">
        <w:rPr>
          <w:rFonts w:cstheme="minorHAnsi"/>
        </w:rPr>
        <w:t xml:space="preserve">The distance from Archetype 1 was associated with genes such as </w:t>
      </w:r>
      <w:r w:rsidR="00233C12" w:rsidRPr="00C35C36">
        <w:rPr>
          <w:rFonts w:eastAsia="Times New Roman" w:cstheme="minorHAnsi"/>
          <w:color w:val="383838"/>
        </w:rPr>
        <w:t>ERBB4</w:t>
      </w:r>
      <w:r w:rsidR="00233C12" w:rsidRPr="00C35C36">
        <w:rPr>
          <w:rFonts w:eastAsia="Times New Roman" w:cstheme="minorHAnsi"/>
        </w:rPr>
        <w:t xml:space="preserve"> and </w:t>
      </w:r>
      <w:r w:rsidR="00C35C36" w:rsidRPr="00C35C36">
        <w:rPr>
          <w:rFonts w:eastAsia="Times New Roman" w:cstheme="minorHAnsi"/>
          <w:color w:val="383838"/>
        </w:rPr>
        <w:t>CNTN4</w:t>
      </w:r>
      <w:r w:rsidR="00C35C36" w:rsidRPr="00C35C36">
        <w:rPr>
          <w:rFonts w:eastAsia="Times New Roman" w:cstheme="minorHAnsi"/>
        </w:rPr>
        <w:t xml:space="preserve">, both involved in CNS development and plasticity; GRIK2, which codes for glutamate receptor, the main excitatory neurotransmitter receptor in the mammalian brain; and </w:t>
      </w:r>
      <w:r w:rsidR="00C35C36" w:rsidRPr="00C35C36">
        <w:rPr>
          <w:rFonts w:eastAsia="Times New Roman" w:cstheme="minorHAnsi"/>
          <w:color w:val="383838"/>
        </w:rPr>
        <w:t>PSENEN/PROSER3</w:t>
      </w:r>
      <w:r w:rsidR="00C35C36" w:rsidRPr="00C35C36">
        <w:rPr>
          <w:rFonts w:eastAsia="Times New Roman" w:cstheme="minorHAnsi"/>
        </w:rPr>
        <w:t>, which is required for intramembranous processing of the Notch proteins and APP and has been widely associated with Alzheimer’s disease.</w:t>
      </w:r>
      <w:r w:rsidR="000F2B67">
        <w:rPr>
          <w:rFonts w:eastAsia="Times New Roman" w:cstheme="minorHAnsi"/>
        </w:rPr>
        <w:t xml:space="preserve"> </w:t>
      </w:r>
      <w:commentRangeStart w:id="2"/>
      <w:r w:rsidR="000F2B67">
        <w:rPr>
          <w:rFonts w:eastAsia="Times New Roman" w:cstheme="minorHAnsi"/>
        </w:rPr>
        <w:t xml:space="preserve">Variants of ERBB4 </w:t>
      </w:r>
      <w:r w:rsidR="00C47706">
        <w:rPr>
          <w:rFonts w:eastAsia="Times New Roman" w:cstheme="minorHAnsi"/>
        </w:rPr>
        <w:t xml:space="preserve">and CNTN4 </w:t>
      </w:r>
      <w:r w:rsidR="000F2B67">
        <w:rPr>
          <w:rFonts w:eastAsia="Times New Roman" w:cstheme="minorHAnsi"/>
        </w:rPr>
        <w:t>ha</w:t>
      </w:r>
      <w:r w:rsidR="00C47706">
        <w:rPr>
          <w:rFonts w:eastAsia="Times New Roman" w:cstheme="minorHAnsi"/>
        </w:rPr>
        <w:t>ve been associated with numerous behavioral and cognitive conditions, as well as metabolic traits and sleep regulation. Variants</w:t>
      </w:r>
      <w:r w:rsidR="00C47706" w:rsidRPr="00C47706">
        <w:rPr>
          <w:rFonts w:eastAsia="Times New Roman" w:cstheme="minorHAnsi"/>
        </w:rPr>
        <w:t xml:space="preserve"> </w:t>
      </w:r>
      <w:r w:rsidR="00C47706">
        <w:rPr>
          <w:rFonts w:eastAsia="Times New Roman" w:cstheme="minorHAnsi"/>
        </w:rPr>
        <w:t xml:space="preserve">of GRIK2 have been associated with behavioral and cognitive conditions as well as blood and heart conditions. </w:t>
      </w:r>
      <w:commentRangeEnd w:id="2"/>
      <w:r w:rsidR="00C47706">
        <w:rPr>
          <w:rStyle w:val="CommentReference"/>
        </w:rPr>
        <w:commentReference w:id="2"/>
      </w:r>
    </w:p>
    <w:p w14:paraId="5866DC40" w14:textId="0283583A" w:rsidR="004F6A04" w:rsidRPr="00EE0250" w:rsidRDefault="00851148" w:rsidP="002170C3">
      <w:pPr>
        <w:spacing w:after="120" w:line="360" w:lineRule="auto"/>
        <w:rPr>
          <w:rFonts w:cstheme="minorHAnsi"/>
          <w:color w:val="000000" w:themeColor="text1"/>
        </w:rPr>
      </w:pPr>
      <w:r w:rsidRPr="00EE0250">
        <w:rPr>
          <w:rFonts w:cstheme="minorHAnsi"/>
          <w:color w:val="000000" w:themeColor="text1"/>
        </w:rPr>
        <w:t>Most</w:t>
      </w:r>
      <w:r w:rsidR="004F6A04" w:rsidRPr="00EE0250">
        <w:rPr>
          <w:rFonts w:cstheme="minorHAnsi"/>
          <w:color w:val="000000" w:themeColor="text1"/>
        </w:rPr>
        <w:t xml:space="preserve"> genes associated with Archetype 2 </w:t>
      </w:r>
      <w:r w:rsidRPr="00EE0250">
        <w:rPr>
          <w:rFonts w:cstheme="minorHAnsi"/>
          <w:color w:val="000000" w:themeColor="text1"/>
        </w:rPr>
        <w:t xml:space="preserve">were directly related to </w:t>
      </w:r>
      <w:r w:rsidR="00C47706">
        <w:rPr>
          <w:rFonts w:cstheme="minorHAnsi"/>
          <w:color w:val="000000" w:themeColor="text1"/>
        </w:rPr>
        <w:t xml:space="preserve">the </w:t>
      </w:r>
      <w:r w:rsidRPr="00EE0250">
        <w:rPr>
          <w:rFonts w:cstheme="minorHAnsi"/>
          <w:color w:val="000000" w:themeColor="text1"/>
        </w:rPr>
        <w:t xml:space="preserve">nervous system development and function, including most notably RGMB and NRG3. </w:t>
      </w:r>
      <w:r w:rsidR="00EE0250" w:rsidRPr="00EE0250">
        <w:rPr>
          <w:rFonts w:cstheme="minorHAnsi"/>
          <w:color w:val="000000" w:themeColor="text1"/>
        </w:rPr>
        <w:t xml:space="preserve">RGMB is a </w:t>
      </w:r>
      <w:r w:rsidR="00EE0250" w:rsidRPr="00EE0250">
        <w:rPr>
          <w:rFonts w:eastAsia="Times New Roman" w:cstheme="minorHAnsi"/>
          <w:color w:val="000000" w:themeColor="text1"/>
          <w:shd w:val="clear" w:color="auto" w:fill="FFFFFF"/>
        </w:rPr>
        <w:t xml:space="preserve">repulsive guidance molecule that contributes to the patterning of the developing nervous system as well as neuronal adhesion. NRG3 activates </w:t>
      </w:r>
      <w:r w:rsidR="00EE0250" w:rsidRPr="00EE0250">
        <w:rPr>
          <w:rFonts w:cstheme="minorHAnsi"/>
          <w:color w:val="000000" w:themeColor="text1"/>
          <w:shd w:val="clear" w:color="auto" w:fill="FFFFFF"/>
        </w:rPr>
        <w:t>tyrosine phosphorylation</w:t>
      </w:r>
      <w:r w:rsidR="00EE0250" w:rsidRPr="00EE0250">
        <w:rPr>
          <w:rFonts w:cstheme="minorHAnsi"/>
          <w:color w:val="000000" w:themeColor="text1"/>
        </w:rPr>
        <w:t xml:space="preserve"> </w:t>
      </w:r>
      <w:r w:rsidR="00EE0250" w:rsidRPr="00EE0250">
        <w:rPr>
          <w:rFonts w:eastAsia="Times New Roman" w:cstheme="minorHAnsi"/>
          <w:color w:val="000000" w:themeColor="text1"/>
          <w:shd w:val="clear" w:color="auto" w:fill="FFFFFF"/>
        </w:rPr>
        <w:t>and is involved in neuroblast proliferation, migration, and differentiation</w:t>
      </w:r>
      <w:r w:rsidR="00C47706">
        <w:rPr>
          <w:rFonts w:eastAsia="Times New Roman" w:cstheme="minorHAnsi"/>
          <w:color w:val="000000" w:themeColor="text1"/>
          <w:shd w:val="clear" w:color="auto" w:fill="FFFFFF"/>
        </w:rPr>
        <w:t>, and has been associated with various behavioral and metabolic conditions</w:t>
      </w:r>
      <w:r w:rsidR="00EE0250">
        <w:rPr>
          <w:rFonts w:eastAsia="Times New Roman" w:cstheme="minorHAnsi"/>
          <w:color w:val="000000" w:themeColor="text1"/>
          <w:shd w:val="clear" w:color="auto" w:fill="FFFFFF"/>
        </w:rPr>
        <w:t>.</w:t>
      </w:r>
    </w:p>
    <w:p w14:paraId="27443ED6" w14:textId="15D05727" w:rsidR="00CC6EB5" w:rsidRPr="00CC6EB5" w:rsidRDefault="004F6A04" w:rsidP="002170C3">
      <w:pPr>
        <w:spacing w:after="120" w:line="360" w:lineRule="auto"/>
        <w:rPr>
          <w:rFonts w:eastAsia="Times New Roman" w:cstheme="minorHAnsi"/>
          <w:color w:val="000000" w:themeColor="text1"/>
        </w:rPr>
      </w:pPr>
      <w:r w:rsidRPr="00CC6EB5">
        <w:rPr>
          <w:rFonts w:cstheme="minorHAnsi"/>
          <w:color w:val="000000" w:themeColor="text1"/>
        </w:rPr>
        <w:t>The genes associated with Archetype 3 included</w:t>
      </w:r>
      <w:r w:rsidR="00CC6EB5">
        <w:rPr>
          <w:rFonts w:cstheme="minorHAnsi"/>
          <w:color w:val="000000" w:themeColor="text1"/>
        </w:rPr>
        <w:t xml:space="preserve"> </w:t>
      </w:r>
      <w:r w:rsidR="000A1391" w:rsidRPr="00CC6EB5">
        <w:rPr>
          <w:rFonts w:cstheme="minorHAnsi"/>
          <w:color w:val="000000" w:themeColor="text1"/>
        </w:rPr>
        <w:t xml:space="preserve">TMEM106B, </w:t>
      </w:r>
      <w:r w:rsidR="00AC09E1" w:rsidRPr="00CC6EB5">
        <w:rPr>
          <w:rFonts w:cstheme="minorHAnsi"/>
          <w:color w:val="000000" w:themeColor="text1"/>
        </w:rPr>
        <w:t xml:space="preserve">KCNA4, and CER6. TMEM106N </w:t>
      </w:r>
      <w:r w:rsidR="00CC6EB5" w:rsidRPr="00CC6EB5">
        <w:rPr>
          <w:rFonts w:cstheme="minorHAnsi"/>
          <w:color w:val="000000" w:themeColor="text1"/>
        </w:rPr>
        <w:t xml:space="preserve">is a </w:t>
      </w:r>
      <w:r w:rsidR="00CC6EB5" w:rsidRPr="00CC6EB5">
        <w:rPr>
          <w:rFonts w:eastAsia="Times New Roman" w:cstheme="minorHAnsi"/>
          <w:color w:val="000000" w:themeColor="text1"/>
        </w:rPr>
        <w:t xml:space="preserve">transmembrane protein involved mainly with dendrite morphogenesis and maintenance. It </w:t>
      </w:r>
      <w:r w:rsidR="00AC09E1" w:rsidRPr="00CC6EB5">
        <w:rPr>
          <w:rFonts w:cstheme="minorHAnsi"/>
          <w:color w:val="000000" w:themeColor="text1"/>
        </w:rPr>
        <w:t xml:space="preserve">has been well established in association with neurodegenerative diseases and cognitive aging, </w:t>
      </w:r>
      <w:r w:rsidR="00CC6EB5" w:rsidRPr="00CC6EB5">
        <w:rPr>
          <w:rFonts w:cstheme="minorHAnsi"/>
          <w:color w:val="000000" w:themeColor="text1"/>
        </w:rPr>
        <w:t>including protective variants that interact with APOE</w:t>
      </w:r>
      <w:r w:rsidR="000917BD">
        <w:rPr>
          <w:rFonts w:cstheme="minorHAnsi"/>
          <w:color w:val="000000" w:themeColor="text1"/>
        </w:rPr>
        <w:t xml:space="preserve"> (Table S###)</w:t>
      </w:r>
      <w:r w:rsidR="00CC6EB5" w:rsidRPr="00CC6EB5">
        <w:rPr>
          <w:rFonts w:cstheme="minorHAnsi"/>
          <w:color w:val="000000" w:themeColor="text1"/>
        </w:rPr>
        <w:t xml:space="preserve">. KCNA4 is a </w:t>
      </w:r>
      <w:r w:rsidR="00CC6EB5" w:rsidRPr="00CC6EB5">
        <w:rPr>
          <w:rFonts w:eastAsia="Times New Roman" w:cstheme="minorHAnsi"/>
          <w:color w:val="000000" w:themeColor="text1"/>
        </w:rPr>
        <w:t xml:space="preserve">potassium channels member, involved with a variety of functions including neurotransmitter release and neuronal excitability. CER6 is a </w:t>
      </w:r>
      <w:proofErr w:type="spellStart"/>
      <w:r w:rsidR="00CC6EB5" w:rsidRPr="00CC6EB5">
        <w:rPr>
          <w:rFonts w:eastAsia="Times New Roman" w:cstheme="minorHAnsi"/>
          <w:color w:val="000000" w:themeColor="text1"/>
        </w:rPr>
        <w:t>ceramid</w:t>
      </w:r>
      <w:proofErr w:type="spellEnd"/>
      <w:r w:rsidR="00CC6EB5" w:rsidRPr="00CC6EB5">
        <w:rPr>
          <w:rFonts w:eastAsia="Times New Roman" w:cstheme="minorHAnsi"/>
          <w:color w:val="000000" w:themeColor="text1"/>
        </w:rPr>
        <w:t xml:space="preserve"> synthase that regulates metabolism and hepatic lipid </w:t>
      </w:r>
      <w:r w:rsidR="00CC6EB5" w:rsidRPr="00CC6EB5">
        <w:rPr>
          <w:rFonts w:eastAsia="Times New Roman" w:cstheme="minorHAnsi"/>
          <w:color w:val="000000" w:themeColor="text1"/>
        </w:rPr>
        <w:lastRenderedPageBreak/>
        <w:t>accumulation, and has been associated with inflammatory response and autonomic neuropathy</w:t>
      </w:r>
      <w:r w:rsidR="00CC6EB5">
        <w:rPr>
          <w:rFonts w:eastAsia="Times New Roman" w:cstheme="minorHAnsi"/>
          <w:color w:val="000000" w:themeColor="text1"/>
        </w:rPr>
        <w:t>.</w:t>
      </w:r>
    </w:p>
    <w:p w14:paraId="44EF5E2A" w14:textId="1EE9FE0F" w:rsidR="004F6A04" w:rsidRPr="008219D9" w:rsidRDefault="004F6A04" w:rsidP="002170C3">
      <w:pPr>
        <w:spacing w:after="120" w:line="360" w:lineRule="auto"/>
        <w:rPr>
          <w:rFonts w:eastAsia="Times New Roman" w:cstheme="minorHAnsi"/>
          <w:color w:val="000000" w:themeColor="text1"/>
        </w:rPr>
      </w:pPr>
      <w:r w:rsidRPr="008219D9">
        <w:rPr>
          <w:rFonts w:cstheme="minorHAnsi"/>
          <w:color w:val="000000" w:themeColor="text1"/>
        </w:rPr>
        <w:t>Mapping the categorical assignment to the nearest archetype revealed several notable genes.</w:t>
      </w:r>
      <w:r w:rsidR="00CC6EB5" w:rsidRPr="008219D9">
        <w:rPr>
          <w:rFonts w:cstheme="minorHAnsi"/>
          <w:color w:val="000000" w:themeColor="text1"/>
        </w:rPr>
        <w:t xml:space="preserve"> </w:t>
      </w:r>
      <w:r w:rsidR="008219D9" w:rsidRPr="008219D9">
        <w:rPr>
          <w:rFonts w:cstheme="minorHAnsi"/>
          <w:color w:val="000000" w:themeColor="text1"/>
        </w:rPr>
        <w:t xml:space="preserve">SGIP1 is </w:t>
      </w:r>
      <w:r w:rsidR="008219D9" w:rsidRPr="008219D9">
        <w:rPr>
          <w:rFonts w:eastAsia="Times New Roman" w:cstheme="minorHAnsi"/>
          <w:color w:val="000000" w:themeColor="text1"/>
        </w:rPr>
        <w:t>an endocytic protein that affects neuronal signaling involved in energy homeostasis. SYNE1 is a nuclear envelope protein particularly critical for neuronal signaling in the cerebellum. NTM</w:t>
      </w:r>
      <w:r w:rsidR="008219D9" w:rsidRPr="008219D9">
        <w:rPr>
          <w:rFonts w:eastAsia="Times New Roman" w:cstheme="minorHAnsi"/>
          <w:color w:val="000000" w:themeColor="text1"/>
          <w:shd w:val="clear" w:color="auto" w:fill="FFFFFF"/>
        </w:rPr>
        <w:t> promote</w:t>
      </w:r>
      <w:r w:rsidR="000917BD">
        <w:rPr>
          <w:rFonts w:eastAsia="Times New Roman" w:cstheme="minorHAnsi"/>
          <w:color w:val="000000" w:themeColor="text1"/>
          <w:shd w:val="clear" w:color="auto" w:fill="FFFFFF"/>
        </w:rPr>
        <w:t>s</w:t>
      </w:r>
      <w:r w:rsidR="008219D9" w:rsidRPr="008219D9">
        <w:rPr>
          <w:rFonts w:eastAsia="Times New Roman" w:cstheme="minorHAnsi"/>
          <w:color w:val="000000" w:themeColor="text1"/>
          <w:shd w:val="clear" w:color="auto" w:fill="FFFFFF"/>
        </w:rPr>
        <w:t xml:space="preserve"> neurite outgrowth and adhesion</w:t>
      </w:r>
      <w:r w:rsidR="008219D9" w:rsidRPr="008219D9">
        <w:rPr>
          <w:rFonts w:eastAsia="Times New Roman" w:cstheme="minorHAnsi"/>
          <w:color w:val="000000" w:themeColor="text1"/>
        </w:rPr>
        <w:t>.</w:t>
      </w:r>
      <w:r w:rsidR="000917BD">
        <w:rPr>
          <w:rFonts w:eastAsia="Times New Roman" w:cstheme="minorHAnsi"/>
          <w:color w:val="000000" w:themeColor="text1"/>
        </w:rPr>
        <w:t xml:space="preserve"> All three have been associated with various mental and metabolic disorders.</w:t>
      </w:r>
    </w:p>
    <w:p w14:paraId="631446C6" w14:textId="4F4AB0C3" w:rsidR="00047C85" w:rsidRDefault="00091A7B" w:rsidP="002170C3">
      <w:pPr>
        <w:spacing w:after="120" w:line="360" w:lineRule="auto"/>
      </w:pPr>
      <w:r w:rsidRPr="00EE0250">
        <w:rPr>
          <w:color w:val="000000" w:themeColor="text1"/>
        </w:rPr>
        <w:t xml:space="preserve">Figure 8 illustrates the genetic </w:t>
      </w:r>
      <w:r>
        <w:t>architecture underlying these phenotypes</w:t>
      </w:r>
      <w:r w:rsidR="00CD4ADB">
        <w:t xml:space="preserve"> </w:t>
      </w:r>
      <w:r w:rsidR="0005507B">
        <w:t xml:space="preserve">in terms of </w:t>
      </w:r>
      <w:r w:rsidR="00C7084D">
        <w:t>overlap in their associated genetic variants</w:t>
      </w:r>
      <w:r>
        <w:t>. For comparison, we include</w:t>
      </w:r>
      <w:r w:rsidR="004A154A">
        <w:t>d</w:t>
      </w:r>
      <w:r>
        <w:t xml:space="preserve"> also subtypes generated for the same </w:t>
      </w:r>
      <w:r w:rsidR="004A154A">
        <w:t>dataset</w:t>
      </w:r>
      <w:r>
        <w:t xml:space="preserve"> </w:t>
      </w:r>
      <w:r w:rsidR="004A154A">
        <w:t>using</w:t>
      </w:r>
      <w:r>
        <w:t xml:space="preserve"> k-means clustering </w:t>
      </w:r>
      <w:r w:rsidR="007528A8">
        <w:fldChar w:fldCharType="begin" w:fldLock="1"/>
      </w:r>
      <w:r w:rsidR="007528A8">
        <w:instrText>ADDIN CSL_CITATION {"citationItems":[{"id":"ITEM-1","itemData":{"DOI":"10.1101/763516","abstract":"Late-Onset Alzheimer’s disease (LOAD) is a common, complex genetic disorder well-known for its heterogeneous pathology. The genetic heterogeneity underlying common complex diseases poses a major challenge for targeted therapies and the identification of novel disease-associated variants. Case-control approaches are often limited to examining a specific outcome in a group of heterogenous patients with different clinical characteristics. Here, we developed a novel approach to define relevant transcriptomic endophenotypes and stratify decedents based on molecular profiles in three independent human LOAD cohorts. By integrating post-mortem brain gene co-expression data from 2114 human samples with LOAD, we developed a novel quantitative, composite phenotype that can better account for the heterogeneity in genetic architecture underlying the disease. We used iterative weighted gene co-expression network analysis (WGCNA) analysis to reduce data dimensionality and to isolate gene sets that are highly co-expressed within disease subtypes and represent specific molecular pathways. We then performed single variant association testing using whole genome-sequencing data for the novel composite phenotype in order to identify genetic loci that contribute to disease heterogeneity. Distinct LOAD subtypes were identified for all three study cohorts (two in ROSMAP, three in Mayo Clinic, two in Mount Sinai Brain Bank). Single variant association analysis identified a genome-wide significant variant in TMEM106B (p-value &lt; 5×10−8, rs1990620G) in the ROSMAP cohort that confers protection from the inflammatory LOAD subtype. Taken together, our novel approach can be used to stratify LOAD into distinct molecular subtypes based on affected disease pathways.","author":[{"dropping-particle":"","family":"Milind","given":"Nikhil","non-dropping-particle":"","parse-names":false,"suffix":""},{"dropping-particle":"","family":"Preuss","given":"Christoph","non-dropping-particle":"","parse-names":false,"suffix":""},{"dropping-particle":"","family":"Haber","given":"Annat","non-dropping-particle":"","parse-names":false,"suffix":""},{"dropping-particle":"","family":"Ananda","given":"Guru","non-dropping-particle":"","parse-names":false,"suffix":""},{"dropping-particle":"","family":"Mukherjee","given":"Shubhabrata","non-dropping-particle":"","parse-names":false,"suffix":""},{"dropping-particle":"","family":"John","given":"Cai","non-dropping-particle":"","parse-names":false,"suffix":""},{"dropping-particle":"","family":"Shapley","given":"Sarah","non-dropping-particle":"","parse-names":false,"suffix":""},{"dropping-particle":"","family":"Tyler","given":"Anna L","non-dropping-particle":"","parse-names":false,"suffix":""},{"dropping-particle":"","family":"Logsdon","given":"Benjamin A","non-dropping-particle":"","parse-names":false,"suffix":""},{"dropping-particle":"","family":"Crane","given":"Paul K","non-dropping-particle":"","parse-names":false,"suffix":""},{"dropping-particle":"","family":"Carter","given":"Gregory W","non-dropping-particle":"","parse-names":false,"suffix":""}],"container-title":"bioRxiv","id":"ITEM-1","issued":{"date-parts":[["2019","9","11"]]},"page":"51404","publisher":"Cold Spring Harbor Laboratory","title":"Transcriptomic Stratification of Late-Onset Alzheimer's Cases Reveals Novel Genetic Modifiers of Disease Pathology","type":"article-journal"},"uris":["http://www.mendeley.com/documents/?uuid=bbce8a1f-d765-3511-a62a-979b59b3e5f5"]}],"mendeley":{"formattedCitation":"[5]","plainTextFormattedCitation":"[5]","previouslyFormattedCitation":"[5]"},"properties":{"noteIndex":0},"schema":"https://github.com/citation-style-language/schema/raw/master/csl-citation.json"}</w:instrText>
      </w:r>
      <w:r w:rsidR="007528A8">
        <w:fldChar w:fldCharType="separate"/>
      </w:r>
      <w:r w:rsidR="007528A8" w:rsidRPr="007528A8">
        <w:rPr>
          <w:noProof/>
        </w:rPr>
        <w:t>[5]</w:t>
      </w:r>
      <w:r w:rsidR="007528A8">
        <w:fldChar w:fldCharType="end"/>
      </w:r>
      <w:r>
        <w:t xml:space="preserve"> as well as clinical phenotypes</w:t>
      </w:r>
      <w:r w:rsidR="004A154A">
        <w:t xml:space="preserve"> of that cohort</w:t>
      </w:r>
      <w:r>
        <w:t xml:space="preserve">, all mapped </w:t>
      </w:r>
      <w:r w:rsidR="00CC6EB5">
        <w:t xml:space="preserve">to </w:t>
      </w:r>
      <w:proofErr w:type="spellStart"/>
      <w:r w:rsidR="00CC6EB5">
        <w:t>snps</w:t>
      </w:r>
      <w:proofErr w:type="spellEnd"/>
      <w:r w:rsidR="00CC6EB5">
        <w:t xml:space="preserve"> </w:t>
      </w:r>
      <w:r>
        <w:t>using the same protocol</w:t>
      </w:r>
      <w:r w:rsidR="00C7084D">
        <w:t xml:space="preserve"> in FUM</w:t>
      </w:r>
      <w:r w:rsidR="007528A8">
        <w:t>A</w:t>
      </w:r>
      <w:r>
        <w:t>.</w:t>
      </w:r>
      <w:r w:rsidR="004F6A04">
        <w:t xml:space="preserve"> </w:t>
      </w:r>
      <w:r w:rsidR="00C7084D">
        <w:t>The three</w:t>
      </w:r>
      <w:r w:rsidR="003C7BCB">
        <w:t xml:space="preserve"> archetypes</w:t>
      </w:r>
      <w:r w:rsidR="00C7084D">
        <w:t xml:space="preserve"> do not overlap</w:t>
      </w:r>
      <w:r w:rsidR="003C7BCB">
        <w:t xml:space="preserve"> in their associated genetic loci. </w:t>
      </w:r>
      <w:r w:rsidR="00047C85">
        <w:t xml:space="preserve">In accord with </w:t>
      </w:r>
      <w:r w:rsidR="003C7BCB">
        <w:t xml:space="preserve">their gene expression profiles, archetypes 1 and 2 overlap with subtype A, while archetype 3 overlaps with subtype B. This suggests that the archetypes </w:t>
      </w:r>
      <w:r w:rsidR="002858C6">
        <w:t>provide a way to refine</w:t>
      </w:r>
      <w:r w:rsidR="003C7BCB">
        <w:t xml:space="preserve"> subtype A in terms of the underlying genetics as well as function. </w:t>
      </w:r>
      <w:r w:rsidR="002858C6">
        <w:t xml:space="preserve">In addition, the archetypes reveal two more genes that connect the gene expression profiles with clinical variables: archetype 2 is connected to clinical diagnosis through CSMD1, known to be highly expressed in the brain in relation to glucose homeostasis and startle response among other things, and archetype 3 is connected to CERAD score through BNC2, a </w:t>
      </w:r>
      <w:r w:rsidR="009C478E">
        <w:t>zi</w:t>
      </w:r>
      <w:r w:rsidR="00AC09E1">
        <w:t>n</w:t>
      </w:r>
      <w:r w:rsidR="009C478E">
        <w:t>c finger protein</w:t>
      </w:r>
      <w:r w:rsidR="002858C6">
        <w:t xml:space="preserve"> related to </w:t>
      </w:r>
      <w:r w:rsidR="009C478E">
        <w:t xml:space="preserve">epithelial cells. </w:t>
      </w:r>
      <w:r w:rsidR="00AC09E1">
        <w:t>Like</w:t>
      </w:r>
      <w:r w:rsidR="0039748E">
        <w:t xml:space="preserve"> subtype B,</w:t>
      </w:r>
      <w:r w:rsidR="00AC09E1">
        <w:t xml:space="preserve"> archetype 3</w:t>
      </w:r>
      <w:r w:rsidR="002858C6">
        <w:t xml:space="preserve"> is also connected to BRAAK score through </w:t>
      </w:r>
      <w:r w:rsidR="0039748E">
        <w:t xml:space="preserve">DLC1, a gene related to cytoskeletal reorganization </w:t>
      </w:r>
      <w:r w:rsidR="00AC09E1">
        <w:t>and tumor suppression</w:t>
      </w:r>
      <w:r w:rsidR="0039748E">
        <w:t xml:space="preserve">. </w:t>
      </w:r>
      <w:r w:rsidR="004F6A04">
        <w:t xml:space="preserve">In comparison, the same analysis using the submodules as phenotypes revealed prevalent overlap </w:t>
      </w:r>
      <w:r w:rsidR="004A154A">
        <w:t>among</w:t>
      </w:r>
      <w:r w:rsidR="004F6A04">
        <w:t xml:space="preserve"> the </w:t>
      </w:r>
      <w:r w:rsidR="004A154A">
        <w:t>submodules and between submodules and subtypes (Fig. S9;</w:t>
      </w:r>
      <w:r w:rsidR="007528A8">
        <w:t xml:space="preserve"> see also</w:t>
      </w:r>
      <w:r w:rsidR="004A154A">
        <w:t xml:space="preserve"> </w:t>
      </w:r>
      <w:r w:rsidR="007528A8">
        <w:fldChar w:fldCharType="begin" w:fldLock="1"/>
      </w:r>
      <w:r w:rsidR="007528A8">
        <w:instrText>ADDIN CSL_CITATION {"citationItems":[{"id":"ITEM-1","itemData":{"DOI":"10.1101/763516","abstract":"Late-Onset Alzheimer’s disease (LOAD) is a common, complex genetic disorder well-known for its heterogeneous pathology. The genetic heterogeneity underlying common complex diseases poses a major challenge for targeted therapies and the identification of novel disease-associated variants. Case-control approaches are often limited to examining a specific outcome in a group of heterogenous patients with different clinical characteristics. Here, we developed a novel approach to define relevant transcriptomic endophenotypes and stratify decedents based on molecular profiles in three independent human LOAD cohorts. By integrating post-mortem brain gene co-expression data from 2114 human samples with LOAD, we developed a novel quantitative, composite phenotype that can better account for the heterogeneity in genetic architecture underlying the disease. We used iterative weighted gene co-expression network analysis (WGCNA) analysis to reduce data dimensionality and to isolate gene sets that are highly co-expressed within disease subtypes and represent specific molecular pathways. We then performed single variant association testing using whole genome-sequencing data for the novel composite phenotype in order to identify genetic loci that contribute to disease heterogeneity. Distinct LOAD subtypes were identified for all three study cohorts (two in ROSMAP, three in Mayo Clinic, two in Mount Sinai Brain Bank). Single variant association analysis identified a genome-wide significant variant in TMEM106B (p-value &lt; 5×10−8, rs1990620G) in the ROSMAP cohort that confers protection from the inflammatory LOAD subtype. Taken together, our novel approach can be used to stratify LOAD into distinct molecular subtypes based on affected disease pathways.","author":[{"dropping-particle":"","family":"Milind","given":"Nikhil","non-dropping-particle":"","parse-names":false,"suffix":""},{"dropping-particle":"","family":"Preuss","given":"Christoph","non-dropping-particle":"","parse-names":false,"suffix":""},{"dropping-particle":"","family":"Haber","given":"Annat","non-dropping-particle":"","parse-names":false,"suffix":""},{"dropping-particle":"","family":"Ananda","given":"Guru","non-dropping-particle":"","parse-names":false,"suffix":""},{"dropping-particle":"","family":"Mukherjee","given":"Shubhabrata","non-dropping-particle":"","parse-names":false,"suffix":""},{"dropping-particle":"","family":"John","given":"Cai","non-dropping-particle":"","parse-names":false,"suffix":""},{"dropping-particle":"","family":"Shapley","given":"Sarah","non-dropping-particle":"","parse-names":false,"suffix":""},{"dropping-particle":"","family":"Tyler","given":"Anna L","non-dropping-particle":"","parse-names":false,"suffix":""},{"dropping-particle":"","family":"Logsdon","given":"Benjamin A","non-dropping-particle":"","parse-names":false,"suffix":""},{"dropping-particle":"","family":"Crane","given":"Paul K","non-dropping-particle":"","parse-names":false,"suffix":""},{"dropping-particle":"","family":"Carter","given":"Gregory W","non-dropping-particle":"","parse-names":false,"suffix":""}],"container-title":"bioRxiv","id":"ITEM-1","issued":{"date-parts":[["2019","9","11"]]},"page":"51404","publisher":"Cold Spring Harbor Laboratory","title":"Transcriptomic Stratification of Late-Onset Alzheimer's Cases Reveals Novel Genetic Modifiers of Disease Pathology","type":"article-journal"},"uris":["http://www.mendeley.com/documents/?uuid=bbce8a1f-d765-3511-a62a-979b59b3e5f5"]}],"mendeley":{"formattedCitation":"[5]","plainTextFormattedCitation":"[5]"},"properties":{"noteIndex":0},"schema":"https://github.com/citation-style-language/schema/raw/master/csl-citation.json"}</w:instrText>
      </w:r>
      <w:r w:rsidR="007528A8">
        <w:fldChar w:fldCharType="separate"/>
      </w:r>
      <w:r w:rsidR="007528A8" w:rsidRPr="007528A8">
        <w:rPr>
          <w:noProof/>
        </w:rPr>
        <w:t>[5]</w:t>
      </w:r>
      <w:r w:rsidR="007528A8">
        <w:fldChar w:fldCharType="end"/>
      </w:r>
      <w:r w:rsidR="004A154A">
        <w:t>), suggesting that the archetypes could provide a more informative tool for patient stratification.</w:t>
      </w:r>
    </w:p>
    <w:p w14:paraId="63D0C754" w14:textId="5B7BD068" w:rsidR="006D476E" w:rsidRDefault="006D476E" w:rsidP="002170C3">
      <w:pPr>
        <w:spacing w:after="120" w:line="360" w:lineRule="auto"/>
      </w:pPr>
    </w:p>
    <w:p w14:paraId="7147757F" w14:textId="77777777" w:rsidR="007528A8" w:rsidRDefault="007528A8">
      <w:r>
        <w:br w:type="page"/>
      </w:r>
    </w:p>
    <w:p w14:paraId="37F71F64" w14:textId="7F6C1AA7" w:rsidR="006D476E" w:rsidRDefault="006D476E" w:rsidP="002170C3">
      <w:pPr>
        <w:spacing w:after="120" w:line="360" w:lineRule="auto"/>
      </w:pPr>
      <w:r>
        <w:lastRenderedPageBreak/>
        <w:t>REFERENCES</w:t>
      </w:r>
    </w:p>
    <w:p w14:paraId="61A1E655" w14:textId="69C492B8" w:rsidR="007528A8" w:rsidRPr="007528A8" w:rsidRDefault="00591DAF" w:rsidP="007528A8">
      <w:pPr>
        <w:widowControl w:val="0"/>
        <w:autoSpaceDE w:val="0"/>
        <w:autoSpaceDN w:val="0"/>
        <w:adjustRightInd w:val="0"/>
        <w:spacing w:after="120" w:line="36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7528A8" w:rsidRPr="007528A8">
        <w:rPr>
          <w:rFonts w:ascii="Calibri" w:hAnsi="Calibri" w:cs="Calibri"/>
          <w:noProof/>
        </w:rPr>
        <w:t>[1]</w:t>
      </w:r>
      <w:r w:rsidR="007528A8" w:rsidRPr="007528A8">
        <w:rPr>
          <w:rFonts w:ascii="Calibri" w:hAnsi="Calibri" w:cs="Calibri"/>
          <w:noProof/>
        </w:rPr>
        <w:tab/>
        <w:t xml:space="preserve">R. Mayeux and Y. Stern, “Epidemiology of Alzheimer disease,” </w:t>
      </w:r>
      <w:r w:rsidR="007528A8" w:rsidRPr="007528A8">
        <w:rPr>
          <w:rFonts w:ascii="Calibri" w:hAnsi="Calibri" w:cs="Calibri"/>
          <w:i/>
          <w:iCs/>
          <w:noProof/>
        </w:rPr>
        <w:t>Cold Spring Harb. Perspect. Med.</w:t>
      </w:r>
      <w:r w:rsidR="007528A8" w:rsidRPr="007528A8">
        <w:rPr>
          <w:rFonts w:ascii="Calibri" w:hAnsi="Calibri" w:cs="Calibri"/>
          <w:noProof/>
        </w:rPr>
        <w:t>, vol. 2, no. 8, 2012, doi: 10.1101/cshperspect.a006239.</w:t>
      </w:r>
    </w:p>
    <w:p w14:paraId="1B0E44A4"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[2]</w:t>
      </w:r>
      <w:r w:rsidRPr="007528A8">
        <w:rPr>
          <w:rFonts w:ascii="Calibri" w:hAnsi="Calibri" w:cs="Calibri"/>
          <w:noProof/>
        </w:rPr>
        <w:tab/>
        <w:t xml:space="preserve">J. C. Lee, “Beyond disease susceptibility—Leveraging genome-wide association studies for new insights into complex disease biology,” </w:t>
      </w:r>
      <w:r w:rsidRPr="007528A8">
        <w:rPr>
          <w:rFonts w:ascii="Calibri" w:hAnsi="Calibri" w:cs="Calibri"/>
          <w:i/>
          <w:iCs/>
          <w:noProof/>
        </w:rPr>
        <w:t>HLA</w:t>
      </w:r>
      <w:r w:rsidRPr="007528A8">
        <w:rPr>
          <w:rFonts w:ascii="Calibri" w:hAnsi="Calibri" w:cs="Calibri"/>
          <w:noProof/>
        </w:rPr>
        <w:t>, vol. 90, no. 6. Blackwell Publishing Ltd, pp. 329–334, 01-Dec-2017, doi: 10.1111/tan.13170.</w:t>
      </w:r>
    </w:p>
    <w:p w14:paraId="0D6C016D"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[3]</w:t>
      </w:r>
      <w:r w:rsidRPr="007528A8">
        <w:rPr>
          <w:rFonts w:ascii="Calibri" w:hAnsi="Calibri" w:cs="Calibri"/>
          <w:noProof/>
        </w:rPr>
        <w:tab/>
        <w:t xml:space="preserve">I. E. Jansen </w:t>
      </w:r>
      <w:r w:rsidRPr="007528A8">
        <w:rPr>
          <w:rFonts w:ascii="Calibri" w:hAnsi="Calibri" w:cs="Calibri"/>
          <w:i/>
          <w:iCs/>
          <w:noProof/>
        </w:rPr>
        <w:t>et al.</w:t>
      </w:r>
      <w:r w:rsidRPr="007528A8">
        <w:rPr>
          <w:rFonts w:ascii="Calibri" w:hAnsi="Calibri" w:cs="Calibri"/>
          <w:noProof/>
        </w:rPr>
        <w:t xml:space="preserve">, “Genome-wide meta-analysis identifies new loci and functional pathways influencing Alzheimer’s disease risk,” </w:t>
      </w:r>
      <w:r w:rsidRPr="007528A8">
        <w:rPr>
          <w:rFonts w:ascii="Calibri" w:hAnsi="Calibri" w:cs="Calibri"/>
          <w:i/>
          <w:iCs/>
          <w:noProof/>
        </w:rPr>
        <w:t>Nat. Genet.</w:t>
      </w:r>
      <w:r w:rsidRPr="007528A8">
        <w:rPr>
          <w:rFonts w:ascii="Calibri" w:hAnsi="Calibri" w:cs="Calibri"/>
          <w:noProof/>
        </w:rPr>
        <w:t>, vol. 51, no. 3, pp. 404–413, Mar. 2019, doi: 10.1038/s41588-018-0311-9.</w:t>
      </w:r>
    </w:p>
    <w:p w14:paraId="037F6EC5"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[4]</w:t>
      </w:r>
      <w:r w:rsidRPr="007528A8">
        <w:rPr>
          <w:rFonts w:ascii="Calibri" w:hAnsi="Calibri" w:cs="Calibri"/>
          <w:noProof/>
        </w:rPr>
        <w:tab/>
        <w:t xml:space="preserve">J. Verheijen and K. Sleegers, “Understanding Alzheimer Disease at the Interface between Genetics and Transcriptomics,” </w:t>
      </w:r>
      <w:r w:rsidRPr="007528A8">
        <w:rPr>
          <w:rFonts w:ascii="Calibri" w:hAnsi="Calibri" w:cs="Calibri"/>
          <w:i/>
          <w:iCs/>
          <w:noProof/>
        </w:rPr>
        <w:t>Trends in Genetics</w:t>
      </w:r>
      <w:r w:rsidRPr="007528A8">
        <w:rPr>
          <w:rFonts w:ascii="Calibri" w:hAnsi="Calibri" w:cs="Calibri"/>
          <w:noProof/>
        </w:rPr>
        <w:t>, vol. 34, no. 6. Elsevier Ltd, pp. 434–447, 01-Jun-2018, doi: 10.1016/j.tig.2018.02.007.</w:t>
      </w:r>
    </w:p>
    <w:p w14:paraId="4AC92992"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[5]</w:t>
      </w:r>
      <w:r w:rsidRPr="007528A8">
        <w:rPr>
          <w:rFonts w:ascii="Calibri" w:hAnsi="Calibri" w:cs="Calibri"/>
          <w:noProof/>
        </w:rPr>
        <w:tab/>
        <w:t xml:space="preserve">N. Milind </w:t>
      </w:r>
      <w:r w:rsidRPr="007528A8">
        <w:rPr>
          <w:rFonts w:ascii="Calibri" w:hAnsi="Calibri" w:cs="Calibri"/>
          <w:i/>
          <w:iCs/>
          <w:noProof/>
        </w:rPr>
        <w:t>et al.</w:t>
      </w:r>
      <w:r w:rsidRPr="007528A8">
        <w:rPr>
          <w:rFonts w:ascii="Calibri" w:hAnsi="Calibri" w:cs="Calibri"/>
          <w:noProof/>
        </w:rPr>
        <w:t xml:space="preserve">, “Transcriptomic Stratification of Late-Onset Alzheimer’s Cases Reveals Novel Genetic Modifiers of Disease Pathology,” </w:t>
      </w:r>
      <w:r w:rsidRPr="007528A8">
        <w:rPr>
          <w:rFonts w:ascii="Calibri" w:hAnsi="Calibri" w:cs="Calibri"/>
          <w:i/>
          <w:iCs/>
          <w:noProof/>
        </w:rPr>
        <w:t>bioRxiv</w:t>
      </w:r>
      <w:r w:rsidRPr="007528A8">
        <w:rPr>
          <w:rFonts w:ascii="Calibri" w:hAnsi="Calibri" w:cs="Calibri"/>
          <w:noProof/>
        </w:rPr>
        <w:t>, p. 51404, Sep. 2019, doi: 10.1101/763516.</w:t>
      </w:r>
    </w:p>
    <w:p w14:paraId="224CB41C"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[6]</w:t>
      </w:r>
      <w:r w:rsidRPr="007528A8">
        <w:rPr>
          <w:rFonts w:ascii="Calibri" w:hAnsi="Calibri" w:cs="Calibri"/>
          <w:noProof/>
        </w:rPr>
        <w:tab/>
        <w:t xml:space="preserve">N. T. Seyfried </w:t>
      </w:r>
      <w:r w:rsidRPr="007528A8">
        <w:rPr>
          <w:rFonts w:ascii="Calibri" w:hAnsi="Calibri" w:cs="Calibri"/>
          <w:i/>
          <w:iCs/>
          <w:noProof/>
        </w:rPr>
        <w:t>et al.</w:t>
      </w:r>
      <w:r w:rsidRPr="007528A8">
        <w:rPr>
          <w:rFonts w:ascii="Calibri" w:hAnsi="Calibri" w:cs="Calibri"/>
          <w:noProof/>
        </w:rPr>
        <w:t xml:space="preserve">, “A Multi-network Approach Identifies Protein-Specific Co-expression in Asymptomatic and Symptomatic Alzheimer’s Disease,” </w:t>
      </w:r>
      <w:r w:rsidRPr="007528A8">
        <w:rPr>
          <w:rFonts w:ascii="Calibri" w:hAnsi="Calibri" w:cs="Calibri"/>
          <w:i/>
          <w:iCs/>
          <w:noProof/>
        </w:rPr>
        <w:t>Cell Syst.</w:t>
      </w:r>
      <w:r w:rsidRPr="007528A8">
        <w:rPr>
          <w:rFonts w:ascii="Calibri" w:hAnsi="Calibri" w:cs="Calibri"/>
          <w:noProof/>
        </w:rPr>
        <w:t>, vol. 4, no. 1, pp. 60-72.e4, Jan. 2017, doi: 10.1016/j.cels.2016.11.006.</w:t>
      </w:r>
    </w:p>
    <w:p w14:paraId="73A6697D"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[7]</w:t>
      </w:r>
      <w:r w:rsidRPr="007528A8">
        <w:rPr>
          <w:rFonts w:ascii="Calibri" w:hAnsi="Calibri" w:cs="Calibri"/>
          <w:noProof/>
        </w:rPr>
        <w:tab/>
        <w:t xml:space="preserve">J. A. Miller, R. L. Woltjer, J. M. Goodenbour, S. Horvath, and D. H. Geschwind, “Genes and pathways underlying regional and cell type changes in Alzheimer’s disease,” </w:t>
      </w:r>
      <w:r w:rsidRPr="007528A8">
        <w:rPr>
          <w:rFonts w:ascii="Calibri" w:hAnsi="Calibri" w:cs="Calibri"/>
          <w:i/>
          <w:iCs/>
          <w:noProof/>
        </w:rPr>
        <w:t>Genome Med.</w:t>
      </w:r>
      <w:r w:rsidRPr="007528A8">
        <w:rPr>
          <w:rFonts w:ascii="Calibri" w:hAnsi="Calibri" w:cs="Calibri"/>
          <w:noProof/>
        </w:rPr>
        <w:t>, vol. 5, no. 5, p. 48, May 2013, doi: 10.1186/gm452.</w:t>
      </w:r>
    </w:p>
    <w:p w14:paraId="5229E003"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[8]</w:t>
      </w:r>
      <w:r w:rsidRPr="007528A8">
        <w:rPr>
          <w:rFonts w:ascii="Calibri" w:hAnsi="Calibri" w:cs="Calibri"/>
          <w:noProof/>
        </w:rPr>
        <w:tab/>
        <w:t xml:space="preserve">S. Mukherjee </w:t>
      </w:r>
      <w:r w:rsidRPr="007528A8">
        <w:rPr>
          <w:rFonts w:ascii="Calibri" w:hAnsi="Calibri" w:cs="Calibri"/>
          <w:i/>
          <w:iCs/>
          <w:noProof/>
        </w:rPr>
        <w:t>et al.</w:t>
      </w:r>
      <w:r w:rsidRPr="007528A8">
        <w:rPr>
          <w:rFonts w:ascii="Calibri" w:hAnsi="Calibri" w:cs="Calibri"/>
          <w:noProof/>
        </w:rPr>
        <w:t xml:space="preserve">, “Molecular estimation of neurodegeneration pseudotime in older brains,” </w:t>
      </w:r>
      <w:r w:rsidRPr="007528A8">
        <w:rPr>
          <w:rFonts w:ascii="Calibri" w:hAnsi="Calibri" w:cs="Calibri"/>
          <w:i/>
          <w:iCs/>
          <w:noProof/>
        </w:rPr>
        <w:t>bioRxiv</w:t>
      </w:r>
      <w:r w:rsidRPr="007528A8">
        <w:rPr>
          <w:rFonts w:ascii="Calibri" w:hAnsi="Calibri" w:cs="Calibri"/>
          <w:noProof/>
        </w:rPr>
        <w:t>, p. 686824, Jun. 2019, doi: 10.1101/686824.</w:t>
      </w:r>
    </w:p>
    <w:p w14:paraId="2B83B9D1"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[9]</w:t>
      </w:r>
      <w:r w:rsidRPr="007528A8">
        <w:rPr>
          <w:rFonts w:ascii="Calibri" w:hAnsi="Calibri" w:cs="Calibri"/>
          <w:noProof/>
        </w:rPr>
        <w:tab/>
        <w:t xml:space="preserve">B. De Strooper and E. Karran, “The Cellular Phase of Alzheimer’s Disease,” </w:t>
      </w:r>
      <w:r w:rsidRPr="007528A8">
        <w:rPr>
          <w:rFonts w:ascii="Calibri" w:hAnsi="Calibri" w:cs="Calibri"/>
          <w:i/>
          <w:iCs/>
          <w:noProof/>
        </w:rPr>
        <w:t>Cell</w:t>
      </w:r>
      <w:r w:rsidRPr="007528A8">
        <w:rPr>
          <w:rFonts w:ascii="Calibri" w:hAnsi="Calibri" w:cs="Calibri"/>
          <w:noProof/>
        </w:rPr>
        <w:t>, vol. 164, no. 4. Cell Press, pp. 603–615, 11-Feb-2016, doi: 10.1016/j.cell.2015.12.056.</w:t>
      </w:r>
    </w:p>
    <w:p w14:paraId="777C61E3"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[10]</w:t>
      </w:r>
      <w:r w:rsidRPr="007528A8">
        <w:rPr>
          <w:rFonts w:ascii="Calibri" w:hAnsi="Calibri" w:cs="Calibri"/>
          <w:noProof/>
        </w:rPr>
        <w:tab/>
        <w:t xml:space="preserve">S. Mostafavi </w:t>
      </w:r>
      <w:r w:rsidRPr="007528A8">
        <w:rPr>
          <w:rFonts w:ascii="Calibri" w:hAnsi="Calibri" w:cs="Calibri"/>
          <w:i/>
          <w:iCs/>
          <w:noProof/>
        </w:rPr>
        <w:t>et al.</w:t>
      </w:r>
      <w:r w:rsidRPr="007528A8">
        <w:rPr>
          <w:rFonts w:ascii="Calibri" w:hAnsi="Calibri" w:cs="Calibri"/>
          <w:noProof/>
        </w:rPr>
        <w:t xml:space="preserve">, “A molecular network of the aging human brain provides insights into the pathology and cognitive decline of Alzheimer’s disease,” </w:t>
      </w:r>
      <w:r w:rsidRPr="007528A8">
        <w:rPr>
          <w:rFonts w:ascii="Calibri" w:hAnsi="Calibri" w:cs="Calibri"/>
          <w:i/>
          <w:iCs/>
          <w:noProof/>
        </w:rPr>
        <w:t>Nat. Neurosci.</w:t>
      </w:r>
      <w:r w:rsidRPr="007528A8">
        <w:rPr>
          <w:rFonts w:ascii="Calibri" w:hAnsi="Calibri" w:cs="Calibri"/>
          <w:noProof/>
        </w:rPr>
        <w:t xml:space="preserve">, vol. 21, no. 6, </w:t>
      </w:r>
      <w:r w:rsidRPr="007528A8">
        <w:rPr>
          <w:rFonts w:ascii="Calibri" w:hAnsi="Calibri" w:cs="Calibri"/>
          <w:noProof/>
        </w:rPr>
        <w:lastRenderedPageBreak/>
        <w:t>pp. 811–819, Jun. 2018, doi: 10.1038/s41593-018-0154-9.</w:t>
      </w:r>
    </w:p>
    <w:p w14:paraId="79C42EEF"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[11]</w:t>
      </w:r>
      <w:r w:rsidRPr="007528A8">
        <w:rPr>
          <w:rFonts w:ascii="Calibri" w:hAnsi="Calibri" w:cs="Calibri"/>
          <w:noProof/>
        </w:rPr>
        <w:tab/>
        <w:t xml:space="preserve">B. A. Logsdon </w:t>
      </w:r>
      <w:r w:rsidRPr="007528A8">
        <w:rPr>
          <w:rFonts w:ascii="Calibri" w:hAnsi="Calibri" w:cs="Calibri"/>
          <w:i/>
          <w:iCs/>
          <w:noProof/>
        </w:rPr>
        <w:t>et al.</w:t>
      </w:r>
      <w:r w:rsidRPr="007528A8">
        <w:rPr>
          <w:rFonts w:ascii="Calibri" w:hAnsi="Calibri" w:cs="Calibri"/>
          <w:noProof/>
        </w:rPr>
        <w:t xml:space="preserve">, “Meta-analysis of the human brain transcriptome identifies heterogeneity across human AD coexpression modules robust to sample collection and methodological approach,” </w:t>
      </w:r>
      <w:r w:rsidRPr="007528A8">
        <w:rPr>
          <w:rFonts w:ascii="Calibri" w:hAnsi="Calibri" w:cs="Calibri"/>
          <w:i/>
          <w:iCs/>
          <w:noProof/>
        </w:rPr>
        <w:t>bioRxiv</w:t>
      </w:r>
      <w:r w:rsidRPr="007528A8">
        <w:rPr>
          <w:rFonts w:ascii="Calibri" w:hAnsi="Calibri" w:cs="Calibri"/>
          <w:noProof/>
        </w:rPr>
        <w:t>, p. 510420, Jan. 2019, doi: 10.1101/510420.</w:t>
      </w:r>
    </w:p>
    <w:p w14:paraId="76496F32"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[12]</w:t>
      </w:r>
      <w:r w:rsidRPr="007528A8">
        <w:rPr>
          <w:rFonts w:ascii="Calibri" w:hAnsi="Calibri" w:cs="Calibri"/>
          <w:noProof/>
        </w:rPr>
        <w:tab/>
        <w:t xml:space="preserve">P. L. De Jager </w:t>
      </w:r>
      <w:r w:rsidRPr="007528A8">
        <w:rPr>
          <w:rFonts w:ascii="Calibri" w:hAnsi="Calibri" w:cs="Calibri"/>
          <w:i/>
          <w:iCs/>
          <w:noProof/>
        </w:rPr>
        <w:t>et al.</w:t>
      </w:r>
      <w:r w:rsidRPr="007528A8">
        <w:rPr>
          <w:rFonts w:ascii="Calibri" w:hAnsi="Calibri" w:cs="Calibri"/>
          <w:noProof/>
        </w:rPr>
        <w:t xml:space="preserve">, “Data descriptor: A multi-omic atlas of the human frontal cortex for aging and Alzheimer’s disease research,” </w:t>
      </w:r>
      <w:r w:rsidRPr="007528A8">
        <w:rPr>
          <w:rFonts w:ascii="Calibri" w:hAnsi="Calibri" w:cs="Calibri"/>
          <w:i/>
          <w:iCs/>
          <w:noProof/>
        </w:rPr>
        <w:t>Sci. Data</w:t>
      </w:r>
      <w:r w:rsidRPr="007528A8">
        <w:rPr>
          <w:rFonts w:ascii="Calibri" w:hAnsi="Calibri" w:cs="Calibri"/>
          <w:noProof/>
        </w:rPr>
        <w:t>, vol. 5, no. 1, pp. 1–13, Aug. 2018, doi: 10.1038/sdata.2018.142.</w:t>
      </w:r>
    </w:p>
    <w:p w14:paraId="7A3BD26A"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[13]</w:t>
      </w:r>
      <w:r w:rsidRPr="007528A8">
        <w:rPr>
          <w:rFonts w:ascii="Calibri" w:hAnsi="Calibri" w:cs="Calibri"/>
          <w:noProof/>
        </w:rPr>
        <w:tab/>
        <w:t xml:space="preserve">M. Mørup and L. K. Hansen, “Archetypal analysis for machine learning and data mining,” </w:t>
      </w:r>
      <w:r w:rsidRPr="007528A8">
        <w:rPr>
          <w:rFonts w:ascii="Calibri" w:hAnsi="Calibri" w:cs="Calibri"/>
          <w:i/>
          <w:iCs/>
          <w:noProof/>
        </w:rPr>
        <w:t>Neurocomputing</w:t>
      </w:r>
      <w:r w:rsidRPr="007528A8">
        <w:rPr>
          <w:rFonts w:ascii="Calibri" w:hAnsi="Calibri" w:cs="Calibri"/>
          <w:noProof/>
        </w:rPr>
        <w:t>, vol. 80, pp. 54–63, Mar. 2012, doi: 10.1016/J.NEUCOM.2011.06.033.</w:t>
      </w:r>
    </w:p>
    <w:p w14:paraId="64041315"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[14]</w:t>
      </w:r>
      <w:r w:rsidRPr="007528A8">
        <w:rPr>
          <w:rFonts w:ascii="Calibri" w:hAnsi="Calibri" w:cs="Calibri"/>
          <w:noProof/>
        </w:rPr>
        <w:tab/>
        <w:t>V. Kleshchevnikov, “ParetoTI: R toolbox for Archetypal Analysis and Pareto Task Inference on single cell data.” 2019.</w:t>
      </w:r>
    </w:p>
    <w:p w14:paraId="0B5D0019"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[15]</w:t>
      </w:r>
      <w:r w:rsidRPr="007528A8">
        <w:rPr>
          <w:rFonts w:ascii="Calibri" w:hAnsi="Calibri" w:cs="Calibri"/>
          <w:noProof/>
        </w:rPr>
        <w:tab/>
        <w:t xml:space="preserve">Y. Guangchuang, L.-G. Wang, Y. Han, and Q.-Y. He, “clusterProfiler: an R package for comparing biological themes among gene clusters,” </w:t>
      </w:r>
      <w:r w:rsidRPr="007528A8">
        <w:rPr>
          <w:rFonts w:ascii="Calibri" w:hAnsi="Calibri" w:cs="Calibri"/>
          <w:i/>
          <w:iCs/>
          <w:noProof/>
        </w:rPr>
        <w:t>Omi. A J. Integr. Biol.</w:t>
      </w:r>
      <w:r w:rsidRPr="007528A8">
        <w:rPr>
          <w:rFonts w:ascii="Calibri" w:hAnsi="Calibri" w:cs="Calibri"/>
          <w:noProof/>
        </w:rPr>
        <w:t>, vol. 16, no. 5, pp. 284–287, 2012, doi: 10.1089/omi.2011.0118.</w:t>
      </w:r>
    </w:p>
    <w:p w14:paraId="09D96F0A"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[16]</w:t>
      </w:r>
      <w:r w:rsidRPr="007528A8">
        <w:rPr>
          <w:rFonts w:ascii="Calibri" w:hAnsi="Calibri" w:cs="Calibri"/>
          <w:noProof/>
        </w:rPr>
        <w:tab/>
        <w:t xml:space="preserve">A. T. McKenzie </w:t>
      </w:r>
      <w:r w:rsidRPr="007528A8">
        <w:rPr>
          <w:rFonts w:ascii="Calibri" w:hAnsi="Calibri" w:cs="Calibri"/>
          <w:i/>
          <w:iCs/>
          <w:noProof/>
        </w:rPr>
        <w:t>et al.</w:t>
      </w:r>
      <w:r w:rsidRPr="007528A8">
        <w:rPr>
          <w:rFonts w:ascii="Calibri" w:hAnsi="Calibri" w:cs="Calibri"/>
          <w:noProof/>
        </w:rPr>
        <w:t xml:space="preserve">, “Brain Cell Type Specific Gene Expression and Co-expression Network Architectures,” </w:t>
      </w:r>
      <w:r w:rsidRPr="007528A8">
        <w:rPr>
          <w:rFonts w:ascii="Calibri" w:hAnsi="Calibri" w:cs="Calibri"/>
          <w:i/>
          <w:iCs/>
          <w:noProof/>
        </w:rPr>
        <w:t>Sci. Rep.</w:t>
      </w:r>
      <w:r w:rsidRPr="007528A8">
        <w:rPr>
          <w:rFonts w:ascii="Calibri" w:hAnsi="Calibri" w:cs="Calibri"/>
          <w:noProof/>
        </w:rPr>
        <w:t>, vol. 8, no. 1, p. 8868, Dec. 2018, doi: 10.1038/s41598-018-27293-5.</w:t>
      </w:r>
    </w:p>
    <w:p w14:paraId="75858FB2"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[17]</w:t>
      </w:r>
      <w:r w:rsidRPr="007528A8">
        <w:rPr>
          <w:rFonts w:ascii="Calibri" w:hAnsi="Calibri" w:cs="Calibri"/>
          <w:noProof/>
        </w:rPr>
        <w:tab/>
        <w:t xml:space="preserve">H. M. Kang </w:t>
      </w:r>
      <w:r w:rsidRPr="007528A8">
        <w:rPr>
          <w:rFonts w:ascii="Calibri" w:hAnsi="Calibri" w:cs="Calibri"/>
          <w:i/>
          <w:iCs/>
          <w:noProof/>
        </w:rPr>
        <w:t>et al.</w:t>
      </w:r>
      <w:r w:rsidRPr="007528A8">
        <w:rPr>
          <w:rFonts w:ascii="Calibri" w:hAnsi="Calibri" w:cs="Calibri"/>
          <w:noProof/>
        </w:rPr>
        <w:t xml:space="preserve">, “Variance component model to account for sample structure in genome-wide association studies,” </w:t>
      </w:r>
      <w:r w:rsidRPr="007528A8">
        <w:rPr>
          <w:rFonts w:ascii="Calibri" w:hAnsi="Calibri" w:cs="Calibri"/>
          <w:i/>
          <w:iCs/>
          <w:noProof/>
        </w:rPr>
        <w:t>Nat. Genet.</w:t>
      </w:r>
      <w:r w:rsidRPr="007528A8">
        <w:rPr>
          <w:rFonts w:ascii="Calibri" w:hAnsi="Calibri" w:cs="Calibri"/>
          <w:noProof/>
        </w:rPr>
        <w:t>, vol. 42, no. 4, pp. 348–354, 2010, doi: 10.1038/ng.548.</w:t>
      </w:r>
    </w:p>
    <w:p w14:paraId="1FE6A14B"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[18]</w:t>
      </w:r>
      <w:r w:rsidRPr="007528A8">
        <w:rPr>
          <w:rFonts w:ascii="Calibri" w:hAnsi="Calibri" w:cs="Calibri"/>
          <w:noProof/>
        </w:rPr>
        <w:tab/>
        <w:t xml:space="preserve">R. Magno and A.-T. Maia, “gwasrapidd: an R package to query, download and wrangle GWAS Catalog data,” </w:t>
      </w:r>
      <w:r w:rsidRPr="007528A8">
        <w:rPr>
          <w:rFonts w:ascii="Calibri" w:hAnsi="Calibri" w:cs="Calibri"/>
          <w:i/>
          <w:iCs/>
          <w:noProof/>
        </w:rPr>
        <w:t>Bioinformatics</w:t>
      </w:r>
      <w:r w:rsidRPr="007528A8">
        <w:rPr>
          <w:rFonts w:ascii="Calibri" w:hAnsi="Calibri" w:cs="Calibri"/>
          <w:noProof/>
        </w:rPr>
        <w:t>, pp. 1–2, 2019.</w:t>
      </w:r>
    </w:p>
    <w:p w14:paraId="6DC67703" w14:textId="77777777" w:rsidR="007528A8" w:rsidRPr="007528A8" w:rsidRDefault="007528A8" w:rsidP="007528A8">
      <w:pPr>
        <w:widowControl w:val="0"/>
        <w:autoSpaceDE w:val="0"/>
        <w:autoSpaceDN w:val="0"/>
        <w:adjustRightInd w:val="0"/>
        <w:spacing w:after="120" w:line="360" w:lineRule="auto"/>
        <w:ind w:left="640" w:hanging="640"/>
        <w:rPr>
          <w:rFonts w:ascii="Calibri" w:hAnsi="Calibri" w:cs="Calibri"/>
          <w:noProof/>
        </w:rPr>
      </w:pPr>
      <w:r w:rsidRPr="007528A8">
        <w:rPr>
          <w:rFonts w:ascii="Calibri" w:hAnsi="Calibri" w:cs="Calibri"/>
          <w:noProof/>
        </w:rPr>
        <w:t>[19]</w:t>
      </w:r>
      <w:r w:rsidRPr="007528A8">
        <w:rPr>
          <w:rFonts w:ascii="Calibri" w:hAnsi="Calibri" w:cs="Calibri"/>
          <w:noProof/>
        </w:rPr>
        <w:tab/>
        <w:t xml:space="preserve">P. Shannon </w:t>
      </w:r>
      <w:r w:rsidRPr="007528A8">
        <w:rPr>
          <w:rFonts w:ascii="Calibri" w:hAnsi="Calibri" w:cs="Calibri"/>
          <w:i/>
          <w:iCs/>
          <w:noProof/>
        </w:rPr>
        <w:t>et al.</w:t>
      </w:r>
      <w:r w:rsidRPr="007528A8">
        <w:rPr>
          <w:rFonts w:ascii="Calibri" w:hAnsi="Calibri" w:cs="Calibri"/>
          <w:noProof/>
        </w:rPr>
        <w:t xml:space="preserve">, “Cytoscape: A Software Environment for Integrated Models,” </w:t>
      </w:r>
      <w:r w:rsidRPr="007528A8">
        <w:rPr>
          <w:rFonts w:ascii="Calibri" w:hAnsi="Calibri" w:cs="Calibri"/>
          <w:i/>
          <w:iCs/>
          <w:noProof/>
        </w:rPr>
        <w:t>Genome Res.</w:t>
      </w:r>
      <w:r w:rsidRPr="007528A8">
        <w:rPr>
          <w:rFonts w:ascii="Calibri" w:hAnsi="Calibri" w:cs="Calibri"/>
          <w:noProof/>
        </w:rPr>
        <w:t>, vol. 13, no. 22, pp. 2498–2504, 2003, doi: 10.1101/gr.1239303.metabolite.</w:t>
      </w:r>
    </w:p>
    <w:p w14:paraId="29C1C02E" w14:textId="540C2FEF" w:rsidR="006D476E" w:rsidRPr="0093604A" w:rsidRDefault="00591DAF" w:rsidP="007528A8">
      <w:pPr>
        <w:widowControl w:val="0"/>
        <w:autoSpaceDE w:val="0"/>
        <w:autoSpaceDN w:val="0"/>
        <w:adjustRightInd w:val="0"/>
        <w:spacing w:after="120" w:line="360" w:lineRule="auto"/>
        <w:ind w:left="640" w:hanging="640"/>
      </w:pPr>
      <w:r>
        <w:fldChar w:fldCharType="end"/>
      </w:r>
    </w:p>
    <w:sectPr w:rsidR="006D476E" w:rsidRPr="0093604A" w:rsidSect="007734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t Haber" w:date="2020-03-24T15:06:00Z" w:initials="AH">
    <w:p w14:paraId="0981D116" w14:textId="3E1BA744" w:rsidR="00A66DBC" w:rsidRDefault="00A66DBC">
      <w:pPr>
        <w:pStyle w:val="CommentText"/>
      </w:pPr>
      <w:r>
        <w:rPr>
          <w:rStyle w:val="CommentReference"/>
        </w:rPr>
        <w:annotationRef/>
      </w:r>
      <w:r>
        <w:t>Maybe leave out and/or move to discussion</w:t>
      </w:r>
    </w:p>
  </w:comment>
  <w:comment w:id="2" w:author="Annat Haber" w:date="2020-03-09T15:04:00Z" w:initials="AH">
    <w:p w14:paraId="412FF1DC" w14:textId="0AE1E8AB" w:rsidR="00C47706" w:rsidRDefault="00C47706">
      <w:pPr>
        <w:pStyle w:val="CommentText"/>
      </w:pPr>
      <w:r>
        <w:rPr>
          <w:rStyle w:val="CommentReference"/>
        </w:rPr>
        <w:annotationRef/>
      </w:r>
      <w:r>
        <w:t>These didn’t come up in my automatized gwas-catalog query based on our variants (shown in the supp table), but I found it by querying manually based on the gene itself, so I’m guessing it involves different variants. Not sure how to articulate and cite that</w:t>
      </w:r>
      <w:r w:rsidR="000917BD">
        <w:t>, or if we should even include it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1D116" w15:done="0"/>
  <w15:commentEx w15:paraId="412FF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1D116" w16cid:durableId="2224A073"/>
  <w16cid:commentId w16cid:paraId="412FF1DC" w16cid:durableId="2210D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B3516" w14:textId="77777777" w:rsidR="0035547C" w:rsidRDefault="0035547C" w:rsidP="002170C3">
      <w:r>
        <w:separator/>
      </w:r>
    </w:p>
  </w:endnote>
  <w:endnote w:type="continuationSeparator" w:id="0">
    <w:p w14:paraId="7A682263" w14:textId="77777777" w:rsidR="0035547C" w:rsidRDefault="0035547C" w:rsidP="0021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D23AE" w14:textId="77777777" w:rsidR="0035547C" w:rsidRDefault="0035547C" w:rsidP="002170C3">
      <w:r>
        <w:separator/>
      </w:r>
    </w:p>
  </w:footnote>
  <w:footnote w:type="continuationSeparator" w:id="0">
    <w:p w14:paraId="6D101A34" w14:textId="77777777" w:rsidR="0035547C" w:rsidRDefault="0035547C" w:rsidP="002170C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t Haber">
    <w15:presenceInfo w15:providerId="AD" w15:userId="S::annat.haber@jax.org::ba9ac1da-e7d8-493d-ab66-54d73dd5e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C3"/>
    <w:rsid w:val="00025E8B"/>
    <w:rsid w:val="00047C85"/>
    <w:rsid w:val="0005507B"/>
    <w:rsid w:val="0007164D"/>
    <w:rsid w:val="00077095"/>
    <w:rsid w:val="000917BD"/>
    <w:rsid w:val="00091A7B"/>
    <w:rsid w:val="000A1391"/>
    <w:rsid w:val="000A705E"/>
    <w:rsid w:val="000C3EB3"/>
    <w:rsid w:val="000F2B67"/>
    <w:rsid w:val="00102E0F"/>
    <w:rsid w:val="00136F9A"/>
    <w:rsid w:val="00156E8D"/>
    <w:rsid w:val="001779A7"/>
    <w:rsid w:val="001C52A4"/>
    <w:rsid w:val="001E12D2"/>
    <w:rsid w:val="001E635B"/>
    <w:rsid w:val="002170C3"/>
    <w:rsid w:val="0022556A"/>
    <w:rsid w:val="00233C12"/>
    <w:rsid w:val="002858C6"/>
    <w:rsid w:val="00296FB6"/>
    <w:rsid w:val="002A2E49"/>
    <w:rsid w:val="002C6301"/>
    <w:rsid w:val="002D0304"/>
    <w:rsid w:val="002D22CE"/>
    <w:rsid w:val="002D46F4"/>
    <w:rsid w:val="00311EC3"/>
    <w:rsid w:val="0035547C"/>
    <w:rsid w:val="003830F4"/>
    <w:rsid w:val="0039748E"/>
    <w:rsid w:val="003C30AD"/>
    <w:rsid w:val="003C53CE"/>
    <w:rsid w:val="003C7BCB"/>
    <w:rsid w:val="003D0B09"/>
    <w:rsid w:val="003D240B"/>
    <w:rsid w:val="003D4752"/>
    <w:rsid w:val="003E0114"/>
    <w:rsid w:val="003F49CA"/>
    <w:rsid w:val="00427949"/>
    <w:rsid w:val="00452F55"/>
    <w:rsid w:val="00456EA9"/>
    <w:rsid w:val="00457C54"/>
    <w:rsid w:val="004A154A"/>
    <w:rsid w:val="004D529E"/>
    <w:rsid w:val="004E57D3"/>
    <w:rsid w:val="004F6A04"/>
    <w:rsid w:val="00527745"/>
    <w:rsid w:val="00532837"/>
    <w:rsid w:val="00537FFD"/>
    <w:rsid w:val="00591DAF"/>
    <w:rsid w:val="005B3715"/>
    <w:rsid w:val="005D6A95"/>
    <w:rsid w:val="005E1B4A"/>
    <w:rsid w:val="00680C09"/>
    <w:rsid w:val="006815E6"/>
    <w:rsid w:val="006827D6"/>
    <w:rsid w:val="00682EB0"/>
    <w:rsid w:val="00683E7C"/>
    <w:rsid w:val="0069019E"/>
    <w:rsid w:val="006919AD"/>
    <w:rsid w:val="006A4CC0"/>
    <w:rsid w:val="006B68E2"/>
    <w:rsid w:val="006C20E0"/>
    <w:rsid w:val="006D476E"/>
    <w:rsid w:val="00703CD2"/>
    <w:rsid w:val="00733C85"/>
    <w:rsid w:val="007359F6"/>
    <w:rsid w:val="00741258"/>
    <w:rsid w:val="007414B5"/>
    <w:rsid w:val="007446CE"/>
    <w:rsid w:val="00750844"/>
    <w:rsid w:val="007528A8"/>
    <w:rsid w:val="0076172B"/>
    <w:rsid w:val="0077343C"/>
    <w:rsid w:val="007846CA"/>
    <w:rsid w:val="00791109"/>
    <w:rsid w:val="007965BE"/>
    <w:rsid w:val="007B02A2"/>
    <w:rsid w:val="007B6CA1"/>
    <w:rsid w:val="00804E1C"/>
    <w:rsid w:val="008179DC"/>
    <w:rsid w:val="008219D9"/>
    <w:rsid w:val="00844B37"/>
    <w:rsid w:val="00851148"/>
    <w:rsid w:val="00854337"/>
    <w:rsid w:val="008605A8"/>
    <w:rsid w:val="008A3D3C"/>
    <w:rsid w:val="008A7369"/>
    <w:rsid w:val="008C03E1"/>
    <w:rsid w:val="008E5D10"/>
    <w:rsid w:val="008F65A2"/>
    <w:rsid w:val="00914429"/>
    <w:rsid w:val="00914CF2"/>
    <w:rsid w:val="00925DA3"/>
    <w:rsid w:val="00930230"/>
    <w:rsid w:val="0093604A"/>
    <w:rsid w:val="009811E9"/>
    <w:rsid w:val="00981A54"/>
    <w:rsid w:val="0098512B"/>
    <w:rsid w:val="00990499"/>
    <w:rsid w:val="009C478E"/>
    <w:rsid w:val="009D2D33"/>
    <w:rsid w:val="009D4FBC"/>
    <w:rsid w:val="00A058BB"/>
    <w:rsid w:val="00A149C1"/>
    <w:rsid w:val="00A66DBC"/>
    <w:rsid w:val="00A8183A"/>
    <w:rsid w:val="00A81FC9"/>
    <w:rsid w:val="00A977AE"/>
    <w:rsid w:val="00AA530B"/>
    <w:rsid w:val="00AC09E1"/>
    <w:rsid w:val="00AC5EBD"/>
    <w:rsid w:val="00AD4E17"/>
    <w:rsid w:val="00AF7C50"/>
    <w:rsid w:val="00B56C1E"/>
    <w:rsid w:val="00B706E1"/>
    <w:rsid w:val="00B8176E"/>
    <w:rsid w:val="00BF71F4"/>
    <w:rsid w:val="00BF7F5A"/>
    <w:rsid w:val="00C01EBC"/>
    <w:rsid w:val="00C060BB"/>
    <w:rsid w:val="00C125DD"/>
    <w:rsid w:val="00C2752A"/>
    <w:rsid w:val="00C35C36"/>
    <w:rsid w:val="00C47706"/>
    <w:rsid w:val="00C644A8"/>
    <w:rsid w:val="00C7084D"/>
    <w:rsid w:val="00C737E1"/>
    <w:rsid w:val="00CA64F3"/>
    <w:rsid w:val="00CC3AEE"/>
    <w:rsid w:val="00CC6EB5"/>
    <w:rsid w:val="00CD4ADB"/>
    <w:rsid w:val="00CD4C95"/>
    <w:rsid w:val="00CD74BF"/>
    <w:rsid w:val="00D004DB"/>
    <w:rsid w:val="00D414DF"/>
    <w:rsid w:val="00D42D0D"/>
    <w:rsid w:val="00D56FB4"/>
    <w:rsid w:val="00DB5F70"/>
    <w:rsid w:val="00E14FA4"/>
    <w:rsid w:val="00E3129C"/>
    <w:rsid w:val="00E6365A"/>
    <w:rsid w:val="00E7162C"/>
    <w:rsid w:val="00E81E47"/>
    <w:rsid w:val="00EB26A0"/>
    <w:rsid w:val="00EB554D"/>
    <w:rsid w:val="00EC4850"/>
    <w:rsid w:val="00ED3318"/>
    <w:rsid w:val="00EE0250"/>
    <w:rsid w:val="00EE059F"/>
    <w:rsid w:val="00EE4E5F"/>
    <w:rsid w:val="00EF0953"/>
    <w:rsid w:val="00EF66F7"/>
    <w:rsid w:val="00F32C35"/>
    <w:rsid w:val="00F5715D"/>
    <w:rsid w:val="00F662ED"/>
    <w:rsid w:val="00F75F59"/>
    <w:rsid w:val="00F843D5"/>
    <w:rsid w:val="00F85A17"/>
    <w:rsid w:val="00F93A79"/>
    <w:rsid w:val="00FC0B5E"/>
    <w:rsid w:val="00FC6A8B"/>
    <w:rsid w:val="00FE225B"/>
    <w:rsid w:val="00FE4D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9F793"/>
  <w15:chartTrackingRefBased/>
  <w15:docId w15:val="{84748A15-EC8A-6C42-BC91-A962DD15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3C12"/>
    <w:rPr>
      <w:b/>
      <w:bCs/>
    </w:rPr>
  </w:style>
  <w:style w:type="character" w:customStyle="1" w:styleId="hilite">
    <w:name w:val="hilite"/>
    <w:basedOn w:val="DefaultParagraphFont"/>
    <w:rsid w:val="00EE0250"/>
  </w:style>
  <w:style w:type="character" w:styleId="CommentReference">
    <w:name w:val="annotation reference"/>
    <w:basedOn w:val="DefaultParagraphFont"/>
    <w:uiPriority w:val="99"/>
    <w:semiHidden/>
    <w:unhideWhenUsed/>
    <w:rsid w:val="00C47706"/>
    <w:rPr>
      <w:sz w:val="16"/>
      <w:szCs w:val="16"/>
    </w:rPr>
  </w:style>
  <w:style w:type="paragraph" w:styleId="CommentText">
    <w:name w:val="annotation text"/>
    <w:basedOn w:val="Normal"/>
    <w:link w:val="CommentTextChar"/>
    <w:uiPriority w:val="99"/>
    <w:semiHidden/>
    <w:unhideWhenUsed/>
    <w:rsid w:val="00C47706"/>
    <w:rPr>
      <w:sz w:val="20"/>
      <w:szCs w:val="20"/>
    </w:rPr>
  </w:style>
  <w:style w:type="character" w:customStyle="1" w:styleId="CommentTextChar">
    <w:name w:val="Comment Text Char"/>
    <w:basedOn w:val="DefaultParagraphFont"/>
    <w:link w:val="CommentText"/>
    <w:uiPriority w:val="99"/>
    <w:semiHidden/>
    <w:rsid w:val="00C47706"/>
    <w:rPr>
      <w:sz w:val="20"/>
      <w:szCs w:val="20"/>
    </w:rPr>
  </w:style>
  <w:style w:type="paragraph" w:styleId="CommentSubject">
    <w:name w:val="annotation subject"/>
    <w:basedOn w:val="CommentText"/>
    <w:next w:val="CommentText"/>
    <w:link w:val="CommentSubjectChar"/>
    <w:uiPriority w:val="99"/>
    <w:semiHidden/>
    <w:unhideWhenUsed/>
    <w:rsid w:val="00C47706"/>
    <w:rPr>
      <w:b/>
      <w:bCs/>
    </w:rPr>
  </w:style>
  <w:style w:type="character" w:customStyle="1" w:styleId="CommentSubjectChar">
    <w:name w:val="Comment Subject Char"/>
    <w:basedOn w:val="CommentTextChar"/>
    <w:link w:val="CommentSubject"/>
    <w:uiPriority w:val="99"/>
    <w:semiHidden/>
    <w:rsid w:val="00C47706"/>
    <w:rPr>
      <w:b/>
      <w:bCs/>
      <w:sz w:val="20"/>
      <w:szCs w:val="20"/>
    </w:rPr>
  </w:style>
  <w:style w:type="paragraph" w:styleId="BalloonText">
    <w:name w:val="Balloon Text"/>
    <w:basedOn w:val="Normal"/>
    <w:link w:val="BalloonTextChar"/>
    <w:uiPriority w:val="99"/>
    <w:semiHidden/>
    <w:unhideWhenUsed/>
    <w:rsid w:val="00C477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706"/>
    <w:rPr>
      <w:rFonts w:ascii="Times New Roman" w:hAnsi="Times New Roman" w:cs="Times New Roman"/>
      <w:sz w:val="18"/>
      <w:szCs w:val="18"/>
    </w:rPr>
  </w:style>
  <w:style w:type="character" w:styleId="Hyperlink">
    <w:name w:val="Hyperlink"/>
    <w:basedOn w:val="DefaultParagraphFont"/>
    <w:uiPriority w:val="99"/>
    <w:unhideWhenUsed/>
    <w:rsid w:val="000A705E"/>
    <w:rPr>
      <w:color w:val="0563C1" w:themeColor="hyperlink"/>
      <w:u w:val="single"/>
    </w:rPr>
  </w:style>
  <w:style w:type="character" w:styleId="UnresolvedMention">
    <w:name w:val="Unresolved Mention"/>
    <w:basedOn w:val="DefaultParagraphFont"/>
    <w:uiPriority w:val="99"/>
    <w:semiHidden/>
    <w:unhideWhenUsed/>
    <w:rsid w:val="000A705E"/>
    <w:rPr>
      <w:color w:val="605E5C"/>
      <w:shd w:val="clear" w:color="auto" w:fill="E1DFDD"/>
    </w:rPr>
  </w:style>
  <w:style w:type="character" w:styleId="FollowedHyperlink">
    <w:name w:val="FollowedHyperlink"/>
    <w:basedOn w:val="DefaultParagraphFont"/>
    <w:uiPriority w:val="99"/>
    <w:semiHidden/>
    <w:unhideWhenUsed/>
    <w:rsid w:val="00CD4C95"/>
    <w:rPr>
      <w:color w:val="954F72" w:themeColor="followedHyperlink"/>
      <w:u w:val="single"/>
    </w:rPr>
  </w:style>
  <w:style w:type="paragraph" w:styleId="FootnoteText">
    <w:name w:val="footnote text"/>
    <w:basedOn w:val="Normal"/>
    <w:link w:val="FootnoteTextChar"/>
    <w:uiPriority w:val="99"/>
    <w:semiHidden/>
    <w:unhideWhenUsed/>
    <w:rsid w:val="002170C3"/>
    <w:rPr>
      <w:sz w:val="20"/>
      <w:szCs w:val="20"/>
    </w:rPr>
  </w:style>
  <w:style w:type="character" w:customStyle="1" w:styleId="FootnoteTextChar">
    <w:name w:val="Footnote Text Char"/>
    <w:basedOn w:val="DefaultParagraphFont"/>
    <w:link w:val="FootnoteText"/>
    <w:uiPriority w:val="99"/>
    <w:semiHidden/>
    <w:rsid w:val="002170C3"/>
    <w:rPr>
      <w:sz w:val="20"/>
      <w:szCs w:val="20"/>
    </w:rPr>
  </w:style>
  <w:style w:type="character" w:styleId="FootnoteReference">
    <w:name w:val="footnote reference"/>
    <w:basedOn w:val="DefaultParagraphFont"/>
    <w:uiPriority w:val="99"/>
    <w:semiHidden/>
    <w:unhideWhenUsed/>
    <w:rsid w:val="002170C3"/>
    <w:rPr>
      <w:vertAlign w:val="superscript"/>
    </w:rPr>
  </w:style>
  <w:style w:type="paragraph" w:styleId="EndnoteText">
    <w:name w:val="endnote text"/>
    <w:basedOn w:val="Normal"/>
    <w:link w:val="EndnoteTextChar"/>
    <w:uiPriority w:val="99"/>
    <w:semiHidden/>
    <w:unhideWhenUsed/>
    <w:rsid w:val="007414B5"/>
    <w:rPr>
      <w:sz w:val="20"/>
      <w:szCs w:val="20"/>
    </w:rPr>
  </w:style>
  <w:style w:type="character" w:customStyle="1" w:styleId="EndnoteTextChar">
    <w:name w:val="Endnote Text Char"/>
    <w:basedOn w:val="DefaultParagraphFont"/>
    <w:link w:val="EndnoteText"/>
    <w:uiPriority w:val="99"/>
    <w:semiHidden/>
    <w:rsid w:val="007414B5"/>
    <w:rPr>
      <w:sz w:val="20"/>
      <w:szCs w:val="20"/>
    </w:rPr>
  </w:style>
  <w:style w:type="character" w:styleId="EndnoteReference">
    <w:name w:val="endnote reference"/>
    <w:basedOn w:val="DefaultParagraphFont"/>
    <w:uiPriority w:val="99"/>
    <w:semiHidden/>
    <w:unhideWhenUsed/>
    <w:rsid w:val="007414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2628">
      <w:bodyDiv w:val="1"/>
      <w:marLeft w:val="0"/>
      <w:marRight w:val="0"/>
      <w:marTop w:val="0"/>
      <w:marBottom w:val="0"/>
      <w:divBdr>
        <w:top w:val="none" w:sz="0" w:space="0" w:color="auto"/>
        <w:left w:val="none" w:sz="0" w:space="0" w:color="auto"/>
        <w:bottom w:val="none" w:sz="0" w:space="0" w:color="auto"/>
        <w:right w:val="none" w:sz="0" w:space="0" w:color="auto"/>
      </w:divBdr>
    </w:div>
    <w:div w:id="295988079">
      <w:bodyDiv w:val="1"/>
      <w:marLeft w:val="0"/>
      <w:marRight w:val="0"/>
      <w:marTop w:val="0"/>
      <w:marBottom w:val="0"/>
      <w:divBdr>
        <w:top w:val="none" w:sz="0" w:space="0" w:color="auto"/>
        <w:left w:val="none" w:sz="0" w:space="0" w:color="auto"/>
        <w:bottom w:val="none" w:sz="0" w:space="0" w:color="auto"/>
        <w:right w:val="none" w:sz="0" w:space="0" w:color="auto"/>
      </w:divBdr>
    </w:div>
    <w:div w:id="338849203">
      <w:bodyDiv w:val="1"/>
      <w:marLeft w:val="0"/>
      <w:marRight w:val="0"/>
      <w:marTop w:val="0"/>
      <w:marBottom w:val="0"/>
      <w:divBdr>
        <w:top w:val="none" w:sz="0" w:space="0" w:color="auto"/>
        <w:left w:val="none" w:sz="0" w:space="0" w:color="auto"/>
        <w:bottom w:val="none" w:sz="0" w:space="0" w:color="auto"/>
        <w:right w:val="none" w:sz="0" w:space="0" w:color="auto"/>
      </w:divBdr>
    </w:div>
    <w:div w:id="383257098">
      <w:bodyDiv w:val="1"/>
      <w:marLeft w:val="0"/>
      <w:marRight w:val="0"/>
      <w:marTop w:val="0"/>
      <w:marBottom w:val="0"/>
      <w:divBdr>
        <w:top w:val="none" w:sz="0" w:space="0" w:color="auto"/>
        <w:left w:val="none" w:sz="0" w:space="0" w:color="auto"/>
        <w:bottom w:val="none" w:sz="0" w:space="0" w:color="auto"/>
        <w:right w:val="none" w:sz="0" w:space="0" w:color="auto"/>
      </w:divBdr>
    </w:div>
    <w:div w:id="401872909">
      <w:bodyDiv w:val="1"/>
      <w:marLeft w:val="0"/>
      <w:marRight w:val="0"/>
      <w:marTop w:val="0"/>
      <w:marBottom w:val="0"/>
      <w:divBdr>
        <w:top w:val="none" w:sz="0" w:space="0" w:color="auto"/>
        <w:left w:val="none" w:sz="0" w:space="0" w:color="auto"/>
        <w:bottom w:val="none" w:sz="0" w:space="0" w:color="auto"/>
        <w:right w:val="none" w:sz="0" w:space="0" w:color="auto"/>
      </w:divBdr>
    </w:div>
    <w:div w:id="525993525">
      <w:bodyDiv w:val="1"/>
      <w:marLeft w:val="0"/>
      <w:marRight w:val="0"/>
      <w:marTop w:val="0"/>
      <w:marBottom w:val="0"/>
      <w:divBdr>
        <w:top w:val="none" w:sz="0" w:space="0" w:color="auto"/>
        <w:left w:val="none" w:sz="0" w:space="0" w:color="auto"/>
        <w:bottom w:val="none" w:sz="0" w:space="0" w:color="auto"/>
        <w:right w:val="none" w:sz="0" w:space="0" w:color="auto"/>
      </w:divBdr>
    </w:div>
    <w:div w:id="615721756">
      <w:bodyDiv w:val="1"/>
      <w:marLeft w:val="0"/>
      <w:marRight w:val="0"/>
      <w:marTop w:val="0"/>
      <w:marBottom w:val="0"/>
      <w:divBdr>
        <w:top w:val="none" w:sz="0" w:space="0" w:color="auto"/>
        <w:left w:val="none" w:sz="0" w:space="0" w:color="auto"/>
        <w:bottom w:val="none" w:sz="0" w:space="0" w:color="auto"/>
        <w:right w:val="none" w:sz="0" w:space="0" w:color="auto"/>
      </w:divBdr>
    </w:div>
    <w:div w:id="685209221">
      <w:bodyDiv w:val="1"/>
      <w:marLeft w:val="0"/>
      <w:marRight w:val="0"/>
      <w:marTop w:val="0"/>
      <w:marBottom w:val="0"/>
      <w:divBdr>
        <w:top w:val="none" w:sz="0" w:space="0" w:color="auto"/>
        <w:left w:val="none" w:sz="0" w:space="0" w:color="auto"/>
        <w:bottom w:val="none" w:sz="0" w:space="0" w:color="auto"/>
        <w:right w:val="none" w:sz="0" w:space="0" w:color="auto"/>
      </w:divBdr>
    </w:div>
    <w:div w:id="718436368">
      <w:bodyDiv w:val="1"/>
      <w:marLeft w:val="0"/>
      <w:marRight w:val="0"/>
      <w:marTop w:val="0"/>
      <w:marBottom w:val="0"/>
      <w:divBdr>
        <w:top w:val="none" w:sz="0" w:space="0" w:color="auto"/>
        <w:left w:val="none" w:sz="0" w:space="0" w:color="auto"/>
        <w:bottom w:val="none" w:sz="0" w:space="0" w:color="auto"/>
        <w:right w:val="none" w:sz="0" w:space="0" w:color="auto"/>
      </w:divBdr>
    </w:div>
    <w:div w:id="801461699">
      <w:bodyDiv w:val="1"/>
      <w:marLeft w:val="0"/>
      <w:marRight w:val="0"/>
      <w:marTop w:val="0"/>
      <w:marBottom w:val="0"/>
      <w:divBdr>
        <w:top w:val="none" w:sz="0" w:space="0" w:color="auto"/>
        <w:left w:val="none" w:sz="0" w:space="0" w:color="auto"/>
        <w:bottom w:val="none" w:sz="0" w:space="0" w:color="auto"/>
        <w:right w:val="none" w:sz="0" w:space="0" w:color="auto"/>
      </w:divBdr>
    </w:div>
    <w:div w:id="859584948">
      <w:bodyDiv w:val="1"/>
      <w:marLeft w:val="0"/>
      <w:marRight w:val="0"/>
      <w:marTop w:val="0"/>
      <w:marBottom w:val="0"/>
      <w:divBdr>
        <w:top w:val="none" w:sz="0" w:space="0" w:color="auto"/>
        <w:left w:val="none" w:sz="0" w:space="0" w:color="auto"/>
        <w:bottom w:val="none" w:sz="0" w:space="0" w:color="auto"/>
        <w:right w:val="none" w:sz="0" w:space="0" w:color="auto"/>
      </w:divBdr>
    </w:div>
    <w:div w:id="1095705312">
      <w:bodyDiv w:val="1"/>
      <w:marLeft w:val="0"/>
      <w:marRight w:val="0"/>
      <w:marTop w:val="0"/>
      <w:marBottom w:val="0"/>
      <w:divBdr>
        <w:top w:val="none" w:sz="0" w:space="0" w:color="auto"/>
        <w:left w:val="none" w:sz="0" w:space="0" w:color="auto"/>
        <w:bottom w:val="none" w:sz="0" w:space="0" w:color="auto"/>
        <w:right w:val="none" w:sz="0" w:space="0" w:color="auto"/>
      </w:divBdr>
    </w:div>
    <w:div w:id="1256866382">
      <w:bodyDiv w:val="1"/>
      <w:marLeft w:val="0"/>
      <w:marRight w:val="0"/>
      <w:marTop w:val="0"/>
      <w:marBottom w:val="0"/>
      <w:divBdr>
        <w:top w:val="none" w:sz="0" w:space="0" w:color="auto"/>
        <w:left w:val="none" w:sz="0" w:space="0" w:color="auto"/>
        <w:bottom w:val="none" w:sz="0" w:space="0" w:color="auto"/>
        <w:right w:val="none" w:sz="0" w:space="0" w:color="auto"/>
      </w:divBdr>
    </w:div>
    <w:div w:id="1365862456">
      <w:bodyDiv w:val="1"/>
      <w:marLeft w:val="0"/>
      <w:marRight w:val="0"/>
      <w:marTop w:val="0"/>
      <w:marBottom w:val="0"/>
      <w:divBdr>
        <w:top w:val="none" w:sz="0" w:space="0" w:color="auto"/>
        <w:left w:val="none" w:sz="0" w:space="0" w:color="auto"/>
        <w:bottom w:val="none" w:sz="0" w:space="0" w:color="auto"/>
        <w:right w:val="none" w:sz="0" w:space="0" w:color="auto"/>
      </w:divBdr>
    </w:div>
    <w:div w:id="1776099868">
      <w:bodyDiv w:val="1"/>
      <w:marLeft w:val="0"/>
      <w:marRight w:val="0"/>
      <w:marTop w:val="0"/>
      <w:marBottom w:val="0"/>
      <w:divBdr>
        <w:top w:val="none" w:sz="0" w:space="0" w:color="auto"/>
        <w:left w:val="none" w:sz="0" w:space="0" w:color="auto"/>
        <w:bottom w:val="none" w:sz="0" w:space="0" w:color="auto"/>
        <w:right w:val="none" w:sz="0" w:space="0" w:color="auto"/>
      </w:divBdr>
    </w:div>
    <w:div w:id="1913618294">
      <w:bodyDiv w:val="1"/>
      <w:marLeft w:val="0"/>
      <w:marRight w:val="0"/>
      <w:marTop w:val="0"/>
      <w:marBottom w:val="0"/>
      <w:divBdr>
        <w:top w:val="none" w:sz="0" w:space="0" w:color="auto"/>
        <w:left w:val="none" w:sz="0" w:space="0" w:color="auto"/>
        <w:bottom w:val="none" w:sz="0" w:space="0" w:color="auto"/>
        <w:right w:val="none" w:sz="0" w:space="0" w:color="auto"/>
      </w:divBdr>
    </w:div>
    <w:div w:id="195012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bi.ac.uk/gwa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fuma.ctglab.n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ynapse.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ynapse.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geneca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E3C63A-0D06-B649-8A18-82EEB841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10</Pages>
  <Words>22075</Words>
  <Characters>125834</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Annat Haber</dc:creator>
  <cp:keywords/>
  <dc:description/>
  <cp:lastModifiedBy>Annat Haber</cp:lastModifiedBy>
  <cp:revision>64</cp:revision>
  <dcterms:created xsi:type="dcterms:W3CDTF">2020-02-26T16:12:00Z</dcterms:created>
  <dcterms:modified xsi:type="dcterms:W3CDTF">2020-04-06T22:11:00Z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d10653bd-f1a7-38b0-b95f-0b1f52bfa030</vt:lpwstr>
  </property>
  <property fmtid="{D5CDD505-2E9C-101B-9397-08002B2CF9AE}" pid="24" name="Mendeley Citation Style_1">
    <vt:lpwstr>http://www.zotero.org/styles/ieee</vt:lpwstr>
  </property>
</Properties>
</file>