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F1" w:rsidRDefault="00047448" w:rsidP="002B4BAE">
      <w:pPr>
        <w:pStyle w:val="Heading1"/>
      </w:pPr>
      <w:r>
        <w:t>Structure of the CLIMB Client for DCC XML file generation</w:t>
      </w:r>
    </w:p>
    <w:p w:rsidR="00047448" w:rsidRDefault="00047448"/>
    <w:p w:rsidR="00047448" w:rsidRDefault="00047448">
      <w:r>
        <w:t xml:space="preserve">The Python application can be found at </w:t>
      </w:r>
      <w:hyperlink r:id="rId5" w:history="1">
        <w:r w:rsidRPr="000A4DBF">
          <w:rPr>
            <w:rStyle w:val="Hyperlink"/>
          </w:rPr>
          <w:t>https://github.com/TheJacksonLaboratory/DccXmlGenerator</w:t>
        </w:r>
      </w:hyperlink>
    </w:p>
    <w:p w:rsidR="00047448" w:rsidRDefault="00047448">
      <w:r>
        <w:t xml:space="preserve">The KOMP Production team uses CLIMB to manage the KOMP mouse colonies and report Embryo Lethal and Line-based procedures to the DCC. </w:t>
      </w:r>
      <w:r w:rsidR="003233C8">
        <w:t xml:space="preserve">This app works on specimen and line based procedures. </w:t>
      </w:r>
      <w:r>
        <w:t>The adult phenotypers do not use CLIMB.</w:t>
      </w:r>
    </w:p>
    <w:p w:rsidR="00047448" w:rsidRDefault="00047448"/>
    <w:p w:rsidR="00047448" w:rsidRDefault="00047448">
      <w:r>
        <w:t>The application is made up of four modules:</w:t>
      </w:r>
    </w:p>
    <w:p w:rsidR="00047448" w:rsidRDefault="00047448" w:rsidP="00564ECC">
      <w:pPr>
        <w:pStyle w:val="ListParagraph"/>
        <w:numPr>
          <w:ilvl w:val="0"/>
          <w:numId w:val="1"/>
        </w:numPr>
      </w:pPr>
      <w:r w:rsidRPr="00564ECC">
        <w:rPr>
          <w:b/>
        </w:rPr>
        <w:t>Climb.py</w:t>
      </w:r>
      <w:r>
        <w:tab/>
      </w:r>
      <w:r>
        <w:tab/>
        <w:t>Calls to the CLIMB API</w:t>
      </w:r>
    </w:p>
    <w:p w:rsidR="00047448" w:rsidRDefault="00047448" w:rsidP="00564ECC">
      <w:pPr>
        <w:pStyle w:val="ListParagraph"/>
        <w:numPr>
          <w:ilvl w:val="0"/>
          <w:numId w:val="1"/>
        </w:numPr>
      </w:pPr>
      <w:proofErr w:type="gramStart"/>
      <w:r w:rsidRPr="00564ECC">
        <w:rPr>
          <w:b/>
        </w:rPr>
        <w:t>query_database.py</w:t>
      </w:r>
      <w:proofErr w:type="gramEnd"/>
      <w:r>
        <w:tab/>
        <w:t>Contains the SQL to update the KOMP schema in the MySQL database found at rslims.jax.org.</w:t>
      </w:r>
    </w:p>
    <w:p w:rsidR="00047448" w:rsidRDefault="00047448" w:rsidP="00564ECC">
      <w:pPr>
        <w:pStyle w:val="ListParagraph"/>
        <w:numPr>
          <w:ilvl w:val="0"/>
          <w:numId w:val="1"/>
        </w:numPr>
      </w:pPr>
      <w:proofErr w:type="gramStart"/>
      <w:r w:rsidRPr="00564ECC">
        <w:rPr>
          <w:b/>
        </w:rPr>
        <w:t>validate_procedure.py</w:t>
      </w:r>
      <w:proofErr w:type="gramEnd"/>
      <w:r>
        <w:tab/>
        <w:t xml:space="preserve">Contains the validation functions </w:t>
      </w:r>
      <w:r w:rsidR="00564ECC">
        <w:t xml:space="preserve">for </w:t>
      </w:r>
      <w:r>
        <w:t xml:space="preserve">the JSON objects </w:t>
      </w:r>
      <w:r w:rsidR="00564ECC">
        <w:t>returned on the CLIMB interface.</w:t>
      </w:r>
    </w:p>
    <w:p w:rsidR="00564ECC" w:rsidRDefault="00564ECC" w:rsidP="00564ECC">
      <w:pPr>
        <w:pStyle w:val="ListParagraph"/>
        <w:numPr>
          <w:ilvl w:val="0"/>
          <w:numId w:val="1"/>
        </w:numPr>
      </w:pPr>
      <w:proofErr w:type="gramStart"/>
      <w:r w:rsidRPr="00564ECC">
        <w:rPr>
          <w:b/>
        </w:rPr>
        <w:t>dcc_xml.py</w:t>
      </w:r>
      <w:proofErr w:type="gramEnd"/>
      <w:r>
        <w:tab/>
      </w:r>
      <w:r>
        <w:tab/>
        <w:t>The main routine. Queries CLIMB validates the results and produces the XML files.</w:t>
      </w:r>
    </w:p>
    <w:p w:rsidR="00564ECC" w:rsidRDefault="002B4BAE">
      <w:r>
        <w:t xml:space="preserve">This app uses the API wrapper around the CLIMB API found at </w:t>
      </w:r>
      <w:hyperlink r:id="rId6" w:history="1">
        <w:r w:rsidRPr="000A4DBF">
          <w:rPr>
            <w:rStyle w:val="Hyperlink"/>
          </w:rPr>
          <w:t>http://bhclimb01wd.jax.org:8000/docs</w:t>
        </w:r>
      </w:hyperlink>
      <w:r>
        <w:t>.</w:t>
      </w:r>
    </w:p>
    <w:p w:rsidR="002B4BAE" w:rsidRDefault="002B4BAE">
      <w:r>
        <w:t xml:space="preserve">This wrapper was written to avoid the problem of over-fetching from CLIMB and doing large scale filtering on the client side. </w:t>
      </w:r>
      <w:r>
        <w:t xml:space="preserve">The wrapper uses </w:t>
      </w:r>
      <w:proofErr w:type="spellStart"/>
      <w:r>
        <w:t>FastAPI</w:t>
      </w:r>
      <w:proofErr w:type="spellEnd"/>
      <w:r>
        <w:t xml:space="preserve"> to do this.</w:t>
      </w:r>
      <w:r>
        <w:t xml:space="preserve"> The basic, required functions work but we ran out of resources to expand the endpoints as much as we hoped we could. </w:t>
      </w:r>
    </w:p>
    <w:p w:rsidR="002B4BAE" w:rsidRDefault="002B4BAE">
      <w:r>
        <w:t xml:space="preserve">To view the endpoints go to </w:t>
      </w:r>
      <w:hyperlink r:id="rId7" w:history="1">
        <w:r w:rsidRPr="000A4DBF">
          <w:rPr>
            <w:rStyle w:val="Hyperlink"/>
          </w:rPr>
          <w:t>http://bhclimb01wd.jax.org:8000/docs#/</w:t>
        </w:r>
      </w:hyperlink>
      <w:r>
        <w:t xml:space="preserve"> and explore /</w:t>
      </w:r>
      <w:proofErr w:type="spellStart"/>
      <w:r>
        <w:t>api</w:t>
      </w:r>
      <w:proofErr w:type="spellEnd"/>
      <w:r>
        <w:t>/</w:t>
      </w:r>
      <w:proofErr w:type="spellStart"/>
      <w:r>
        <w:t>animalInfo</w:t>
      </w:r>
      <w:proofErr w:type="spellEnd"/>
      <w:r>
        <w:t>, /</w:t>
      </w:r>
      <w:proofErr w:type="spellStart"/>
      <w:r>
        <w:t>api</w:t>
      </w:r>
      <w:proofErr w:type="spellEnd"/>
      <w:r>
        <w:t>/</w:t>
      </w:r>
      <w:proofErr w:type="spellStart"/>
      <w:r>
        <w:t>taskAnimalInfo</w:t>
      </w:r>
      <w:proofErr w:type="spellEnd"/>
      <w:r>
        <w:t>,</w:t>
      </w:r>
      <w:r w:rsidR="001A2AE0">
        <w:t xml:space="preserve"> and /</w:t>
      </w:r>
      <w:proofErr w:type="spellStart"/>
      <w:r w:rsidR="001A2AE0">
        <w:t>api</w:t>
      </w:r>
      <w:proofErr w:type="spellEnd"/>
      <w:r w:rsidR="001A2AE0">
        <w:t>/</w:t>
      </w:r>
      <w:proofErr w:type="spellStart"/>
      <w:r w:rsidR="001A2AE0">
        <w:t>taskAnimalInfoByLine</w:t>
      </w:r>
      <w:proofErr w:type="spellEnd"/>
      <w:r w:rsidR="001A2AE0">
        <w:t>.</w:t>
      </w:r>
    </w:p>
    <w:p w:rsidR="001A2AE0" w:rsidRDefault="002B4BAE">
      <w:r>
        <w:t>The user can also use the standard CLIMB API within this module.</w:t>
      </w:r>
    </w:p>
    <w:p w:rsidR="001A2AE0" w:rsidRDefault="001A2AE0">
      <w:r>
        <w:t>The application takes a filter defined in JSON format and returns the objects based on the filters.</w:t>
      </w:r>
    </w:p>
    <w:p w:rsidR="001A2AE0" w:rsidRDefault="001A2AE0">
      <w:r>
        <w:t xml:space="preserve">Currently the filter filename is hard-coded as </w:t>
      </w:r>
      <w:proofErr w:type="spellStart"/>
      <w:r>
        <w:t>filters.json</w:t>
      </w:r>
      <w:proofErr w:type="spellEnd"/>
      <w:r>
        <w:t xml:space="preserve">. </w:t>
      </w:r>
      <w:r w:rsidRPr="003233C8">
        <w:rPr>
          <w:b/>
        </w:rPr>
        <w:t>This should be improved upon.</w:t>
      </w:r>
      <w:r>
        <w:t xml:space="preserve"> </w:t>
      </w:r>
      <w:r w:rsidR="00096F9C">
        <w:t>Also, the filters have not been fully debugged. In fact there are some known bugs that may never be fixed.</w:t>
      </w:r>
    </w:p>
    <w:p w:rsidR="003233C8" w:rsidRDefault="003233C8"/>
    <w:p w:rsidR="003233C8" w:rsidRDefault="003233C8">
      <w:r>
        <w:t>For procedures to be included in the XML files they mu</w:t>
      </w:r>
      <w:r w:rsidR="004A68AF">
        <w:t>st meet the following criteria.</w:t>
      </w:r>
    </w:p>
    <w:p w:rsidR="003233C8" w:rsidRPr="003233C8" w:rsidRDefault="003233C8" w:rsidP="003233C8">
      <w:pPr>
        <w:numPr>
          <w:ilvl w:val="0"/>
          <w:numId w:val="2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  <w:lang w:val="pt-BR"/>
        </w:rPr>
        <w:t xml:space="preserve">Task status must be ‘Completed’ or ‘Cancelled’ to be picked up </w:t>
      </w:r>
    </w:p>
    <w:p w:rsidR="003233C8" w:rsidRPr="003233C8" w:rsidRDefault="003233C8" w:rsidP="003233C8">
      <w:pPr>
        <w:numPr>
          <w:ilvl w:val="0"/>
          <w:numId w:val="2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  <w:lang w:val="pt-BR"/>
        </w:rPr>
        <w:t>‘Collected Date’ and ‘Collected By’ must be filled in</w:t>
      </w:r>
    </w:p>
    <w:p w:rsidR="003233C8" w:rsidRPr="003233C8" w:rsidRDefault="003233C8" w:rsidP="003233C8">
      <w:pPr>
        <w:numPr>
          <w:ilvl w:val="0"/>
          <w:numId w:val="2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  <w:lang w:val="pt-BR"/>
        </w:rPr>
        <w:t xml:space="preserve">‘Reviewed Date’ and ‘Reviewed By’ must be filled in </w:t>
      </w:r>
    </w:p>
    <w:p w:rsidR="003233C8" w:rsidRPr="003233C8" w:rsidRDefault="003233C8" w:rsidP="003233C8">
      <w:pPr>
        <w:numPr>
          <w:ilvl w:val="0"/>
          <w:numId w:val="2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  <w:lang w:val="pt-BR"/>
        </w:rPr>
        <w:t>Required inputs must be set if they exist</w:t>
      </w:r>
    </w:p>
    <w:p w:rsidR="003233C8" w:rsidRPr="003233C8" w:rsidRDefault="003233C8" w:rsidP="003233C8">
      <w:pPr>
        <w:numPr>
          <w:ilvl w:val="0"/>
          <w:numId w:val="2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</w:rPr>
        <w:t xml:space="preserve">Specimens must have a generation, genotype, sex and </w:t>
      </w:r>
    </w:p>
    <w:p w:rsidR="003233C8" w:rsidRPr="003233C8" w:rsidRDefault="003233C8" w:rsidP="003233C8">
      <w:pPr>
        <w:numPr>
          <w:ilvl w:val="0"/>
          <w:numId w:val="2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eastAsiaTheme="minorEastAsia" w:hAnsi="Calibri"/>
          <w:color w:val="000000" w:themeColor="text1"/>
          <w:kern w:val="24"/>
        </w:rPr>
        <w:t>A</w:t>
      </w:r>
      <w:r w:rsidRPr="003233C8">
        <w:rPr>
          <w:rFonts w:eastAsiaTheme="minorEastAsia" w:hAnsi="Calibri"/>
          <w:color w:val="000000" w:themeColor="text1"/>
          <w:kern w:val="24"/>
        </w:rPr>
        <w:t xml:space="preserve"> line </w:t>
      </w:r>
      <w:r w:rsidR="00A25F46">
        <w:rPr>
          <w:rFonts w:eastAsiaTheme="minorEastAsia" w:hAnsi="Calibri"/>
          <w:color w:val="000000" w:themeColor="text1"/>
          <w:kern w:val="24"/>
        </w:rPr>
        <w:t xml:space="preserve">must be </w:t>
      </w:r>
      <w:bookmarkStart w:id="0" w:name="_GoBack"/>
      <w:bookmarkEnd w:id="0"/>
      <w:r w:rsidRPr="003233C8">
        <w:rPr>
          <w:rFonts w:eastAsiaTheme="minorEastAsia" w:hAnsi="Calibri"/>
          <w:color w:val="000000" w:themeColor="text1"/>
          <w:kern w:val="24"/>
        </w:rPr>
        <w:t>of the following type:</w:t>
      </w:r>
    </w:p>
    <w:p w:rsidR="003233C8" w:rsidRPr="003233C8" w:rsidRDefault="003233C8" w:rsidP="003233C8">
      <w:pPr>
        <w:numPr>
          <w:ilvl w:val="1"/>
          <w:numId w:val="2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</w:rPr>
        <w:t xml:space="preserve">KOMP Active </w:t>
      </w:r>
    </w:p>
    <w:p w:rsidR="003233C8" w:rsidRPr="003233C8" w:rsidRDefault="003233C8" w:rsidP="003233C8">
      <w:pPr>
        <w:numPr>
          <w:ilvl w:val="1"/>
          <w:numId w:val="2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</w:rPr>
        <w:t xml:space="preserve">KOMP Complete </w:t>
      </w:r>
    </w:p>
    <w:p w:rsidR="003233C8" w:rsidRPr="003233C8" w:rsidRDefault="003233C8" w:rsidP="003233C8">
      <w:pPr>
        <w:numPr>
          <w:ilvl w:val="1"/>
          <w:numId w:val="2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</w:rPr>
        <w:t xml:space="preserve">Embryo Lethal Complete </w:t>
      </w:r>
    </w:p>
    <w:p w:rsidR="003233C8" w:rsidRPr="003233C8" w:rsidRDefault="003233C8" w:rsidP="003233C8">
      <w:pPr>
        <w:numPr>
          <w:ilvl w:val="1"/>
          <w:numId w:val="2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</w:rPr>
        <w:t>Embryo Lethal Active</w:t>
      </w:r>
    </w:p>
    <w:p w:rsidR="003233C8" w:rsidRPr="003233C8" w:rsidRDefault="003233C8" w:rsidP="003233C8">
      <w:pPr>
        <w:numPr>
          <w:ilvl w:val="0"/>
          <w:numId w:val="2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3233C8">
        <w:rPr>
          <w:rFonts w:eastAsiaTheme="minorEastAsia" w:hAnsi="Calibri"/>
          <w:color w:val="000000" w:themeColor="text1"/>
          <w:kern w:val="24"/>
        </w:rPr>
        <w:lastRenderedPageBreak/>
        <w:t>Lines must have the ‘reference’ field filled in with the MGI access ID</w:t>
      </w:r>
    </w:p>
    <w:p w:rsidR="00564ECC" w:rsidRDefault="00564ECC"/>
    <w:p w:rsidR="003233C8" w:rsidRDefault="003233C8">
      <w:pPr>
        <w:rPr>
          <w:rFonts w:ascii="Courier New" w:hAnsi="Courier New" w:cs="Courier New"/>
        </w:rPr>
      </w:pPr>
      <w:r>
        <w:t xml:space="preserve">When a procedure is submitted that fact is recorded in </w:t>
      </w:r>
      <w:r w:rsidR="00971D8B">
        <w:t>the MySQL</w:t>
      </w:r>
      <w:r>
        <w:t xml:space="preserve"> database schema </w:t>
      </w:r>
      <w:r w:rsidRPr="003233C8">
        <w:rPr>
          <w:rFonts w:ascii="Courier New" w:hAnsi="Courier New" w:cs="Courier New"/>
        </w:rPr>
        <w:t>KOMP</w:t>
      </w:r>
      <w:r>
        <w:t xml:space="preserve">, table </w:t>
      </w:r>
      <w:proofErr w:type="spellStart"/>
      <w:r w:rsidRPr="003233C8">
        <w:rPr>
          <w:rFonts w:ascii="Courier New" w:hAnsi="Courier New" w:cs="Courier New"/>
        </w:rPr>
        <w:t>submittedProcedures</w:t>
      </w:r>
      <w:proofErr w:type="spellEnd"/>
      <w:r w:rsidRPr="003233C8">
        <w:rPr>
          <w:rFonts w:cstheme="minorHAnsi"/>
        </w:rPr>
        <w:t>. For example:</w:t>
      </w:r>
    </w:p>
    <w:p w:rsidR="003233C8" w:rsidRDefault="003233C8">
      <w:r>
        <w:rPr>
          <w:noProof/>
        </w:rPr>
        <w:drawing>
          <wp:inline distT="0" distB="0" distL="0" distR="0" wp14:anchorId="15176967" wp14:editId="08B95257">
            <wp:extent cx="5943600" cy="1161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C8" w:rsidRPr="003233C8" w:rsidRDefault="003233C8">
      <w:r>
        <w:t xml:space="preserve">The application checks for a newer </w:t>
      </w:r>
      <w:proofErr w:type="spellStart"/>
      <w:r>
        <w:t>DateReviewed</w:t>
      </w:r>
      <w:proofErr w:type="spellEnd"/>
      <w:r>
        <w:t xml:space="preserve"> for each proc</w:t>
      </w:r>
      <w:r w:rsidR="0069105E">
        <w:t xml:space="preserve">edure. If the </w:t>
      </w:r>
      <w:proofErr w:type="spellStart"/>
      <w:r w:rsidR="0069105E">
        <w:t>DateReviewed</w:t>
      </w:r>
      <w:proofErr w:type="spellEnd"/>
      <w:r w:rsidR="0069105E">
        <w:t xml:space="preserve"> is</w:t>
      </w:r>
      <w:r>
        <w:t xml:space="preserve"> newer the procedure is included in the XML file. Otherwise, it is assumed to have been uploaded and, consequently, ignored.</w:t>
      </w:r>
    </w:p>
    <w:sectPr w:rsidR="003233C8" w:rsidRPr="0032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53459"/>
    <w:multiLevelType w:val="hybridMultilevel"/>
    <w:tmpl w:val="CA4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140"/>
    <w:multiLevelType w:val="hybridMultilevel"/>
    <w:tmpl w:val="E73A61B0"/>
    <w:lvl w:ilvl="0" w:tplc="F2402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CB77E">
      <w:start w:val="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AE7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4B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26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47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C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05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CC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48"/>
    <w:rsid w:val="00047448"/>
    <w:rsid w:val="00096F9C"/>
    <w:rsid w:val="001A2AE0"/>
    <w:rsid w:val="002B4BAE"/>
    <w:rsid w:val="003233C8"/>
    <w:rsid w:val="004A68AF"/>
    <w:rsid w:val="0054215C"/>
    <w:rsid w:val="00564ECC"/>
    <w:rsid w:val="0069105E"/>
    <w:rsid w:val="00946DF1"/>
    <w:rsid w:val="00971D8B"/>
    <w:rsid w:val="00A2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5293"/>
  <w15:chartTrackingRefBased/>
  <w15:docId w15:val="{21B5F7A3-BD18-4E53-A976-60DFBCDF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4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4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hclimb01wd.jax.org:8000/docs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hclimb01wd.jax.org:8000/docs" TargetMode="External"/><Relationship Id="rId5" Type="http://schemas.openxmlformats.org/officeDocument/2006/relationships/hyperlink" Target="https://github.com/TheJacksonLaboratory/DccXmlGenera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McFarland</dc:creator>
  <cp:keywords/>
  <dc:description/>
  <cp:lastModifiedBy>Michael McFarland</cp:lastModifiedBy>
  <cp:revision>9</cp:revision>
  <dcterms:created xsi:type="dcterms:W3CDTF">2023-04-26T14:33:00Z</dcterms:created>
  <dcterms:modified xsi:type="dcterms:W3CDTF">2023-04-26T15:46:00Z</dcterms:modified>
</cp:coreProperties>
</file>