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E745C1" w14:textId="77777777" w:rsidR="007B7787" w:rsidRPr="00B84453" w:rsidRDefault="00126E04">
      <w:pPr>
        <w:rPr>
          <w:b/>
          <w:color w:val="1737CF"/>
          <w:sz w:val="21"/>
          <w:szCs w:val="21"/>
        </w:rPr>
      </w:pPr>
      <w:bookmarkStart w:id="0" w:name="_GoBack"/>
      <w:bookmarkEnd w:id="0"/>
      <w:r w:rsidRPr="00B84453">
        <w:rPr>
          <w:b/>
          <w:color w:val="1737CF"/>
          <w:sz w:val="21"/>
          <w:szCs w:val="21"/>
        </w:rPr>
        <w:t>Instructor Guide:  Mini-Mouse Tutorial</w:t>
      </w:r>
    </w:p>
    <w:p w14:paraId="13007E2A" w14:textId="77777777" w:rsidR="00047A0C" w:rsidRPr="00A113A0" w:rsidRDefault="00047A0C">
      <w:pPr>
        <w:rPr>
          <w:sz w:val="21"/>
          <w:szCs w:val="21"/>
        </w:rPr>
      </w:pPr>
    </w:p>
    <w:p w14:paraId="369D9763" w14:textId="78A91C87" w:rsidR="00BC2132" w:rsidRPr="00A113A0" w:rsidRDefault="00AD5076">
      <w:pPr>
        <w:rPr>
          <w:sz w:val="21"/>
          <w:szCs w:val="21"/>
        </w:rPr>
      </w:pPr>
      <w:r w:rsidRPr="00AD5076">
        <w:rPr>
          <w:b/>
          <w:sz w:val="21"/>
          <w:szCs w:val="21"/>
        </w:rPr>
        <w:t>Purpose:</w:t>
      </w:r>
      <w:r>
        <w:rPr>
          <w:sz w:val="21"/>
          <w:szCs w:val="21"/>
        </w:rPr>
        <w:t xml:space="preserve">  </w:t>
      </w:r>
      <w:r w:rsidR="003D1E76" w:rsidRPr="00A113A0">
        <w:rPr>
          <w:sz w:val="21"/>
          <w:szCs w:val="21"/>
        </w:rPr>
        <w:t>This tutorial is d</w:t>
      </w:r>
      <w:r w:rsidR="00612BAA" w:rsidRPr="00A113A0">
        <w:rPr>
          <w:sz w:val="21"/>
          <w:szCs w:val="21"/>
        </w:rPr>
        <w:t xml:space="preserve">esigned for the RNA-seq analysis novice </w:t>
      </w:r>
      <w:r w:rsidR="00A113A0">
        <w:rPr>
          <w:sz w:val="21"/>
          <w:szCs w:val="21"/>
        </w:rPr>
        <w:t>who has a</w:t>
      </w:r>
      <w:r w:rsidR="00612BAA" w:rsidRPr="00A113A0">
        <w:rPr>
          <w:sz w:val="21"/>
          <w:szCs w:val="21"/>
        </w:rPr>
        <w:t xml:space="preserve"> basic </w:t>
      </w:r>
      <w:r w:rsidR="00D60391">
        <w:rPr>
          <w:sz w:val="21"/>
          <w:szCs w:val="21"/>
        </w:rPr>
        <w:t xml:space="preserve">conceptual </w:t>
      </w:r>
      <w:r w:rsidR="00612BAA" w:rsidRPr="00A113A0">
        <w:rPr>
          <w:sz w:val="21"/>
          <w:szCs w:val="21"/>
        </w:rPr>
        <w:t>under</w:t>
      </w:r>
      <w:r w:rsidR="00E54DBD">
        <w:rPr>
          <w:sz w:val="21"/>
          <w:szCs w:val="21"/>
        </w:rPr>
        <w:t xml:space="preserve">standing of Illumina </w:t>
      </w:r>
      <w:r w:rsidR="00B23CBF">
        <w:rPr>
          <w:sz w:val="21"/>
          <w:szCs w:val="21"/>
        </w:rPr>
        <w:t xml:space="preserve">paired-end </w:t>
      </w:r>
      <w:r w:rsidR="00E54DBD">
        <w:rPr>
          <w:sz w:val="21"/>
          <w:szCs w:val="21"/>
        </w:rPr>
        <w:t>sequencing</w:t>
      </w:r>
      <w:r w:rsidR="003D1E76" w:rsidRPr="00A113A0">
        <w:rPr>
          <w:sz w:val="21"/>
          <w:szCs w:val="21"/>
        </w:rPr>
        <w:t xml:space="preserve">.  We structured </w:t>
      </w:r>
      <w:r w:rsidR="00571121" w:rsidRPr="00A113A0">
        <w:rPr>
          <w:sz w:val="21"/>
          <w:szCs w:val="21"/>
        </w:rPr>
        <w:t>Mini-Mouse</w:t>
      </w:r>
      <w:r w:rsidR="003D1E76" w:rsidRPr="00A113A0">
        <w:rPr>
          <w:sz w:val="21"/>
          <w:szCs w:val="21"/>
        </w:rPr>
        <w:t xml:space="preserve"> as</w:t>
      </w:r>
      <w:r w:rsidR="00FF1B39" w:rsidRPr="00A113A0">
        <w:rPr>
          <w:sz w:val="21"/>
          <w:szCs w:val="21"/>
        </w:rPr>
        <w:t xml:space="preserve"> a pre</w:t>
      </w:r>
      <w:r w:rsidR="00BC2132" w:rsidRPr="00A113A0">
        <w:rPr>
          <w:sz w:val="21"/>
          <w:szCs w:val="21"/>
        </w:rPr>
        <w:t xml:space="preserve">quel to the large-scale Jax </w:t>
      </w:r>
      <w:r w:rsidR="00931103" w:rsidRPr="00A113A0">
        <w:rPr>
          <w:sz w:val="21"/>
          <w:szCs w:val="21"/>
        </w:rPr>
        <w:t xml:space="preserve">RNA-seq </w:t>
      </w:r>
      <w:r w:rsidR="00BC2132" w:rsidRPr="00A113A0">
        <w:rPr>
          <w:sz w:val="21"/>
          <w:szCs w:val="21"/>
        </w:rPr>
        <w:t>project</w:t>
      </w:r>
      <w:r w:rsidR="00FF1B39" w:rsidRPr="00A113A0">
        <w:rPr>
          <w:sz w:val="21"/>
          <w:szCs w:val="21"/>
        </w:rPr>
        <w:t>.</w:t>
      </w:r>
    </w:p>
    <w:p w14:paraId="7C4DB67D" w14:textId="77777777" w:rsidR="00931103" w:rsidRDefault="00931103">
      <w:pPr>
        <w:rPr>
          <w:sz w:val="21"/>
          <w:szCs w:val="21"/>
        </w:rPr>
      </w:pPr>
    </w:p>
    <w:p w14:paraId="2C255D91" w14:textId="6E763CEB" w:rsidR="002B1EE7" w:rsidRDefault="002B1EE7">
      <w:pPr>
        <w:rPr>
          <w:sz w:val="21"/>
          <w:szCs w:val="21"/>
        </w:rPr>
      </w:pPr>
      <w:r w:rsidRPr="00AD5076">
        <w:rPr>
          <w:b/>
          <w:sz w:val="21"/>
          <w:szCs w:val="21"/>
        </w:rPr>
        <w:t>Data:</w:t>
      </w:r>
      <w:r>
        <w:rPr>
          <w:sz w:val="21"/>
          <w:szCs w:val="21"/>
        </w:rPr>
        <w:t xml:space="preserve">  The </w:t>
      </w:r>
      <w:r w:rsidR="003D1106">
        <w:rPr>
          <w:sz w:val="21"/>
          <w:szCs w:val="21"/>
        </w:rPr>
        <w:t xml:space="preserve">publicly-available </w:t>
      </w:r>
      <w:r>
        <w:rPr>
          <w:sz w:val="21"/>
          <w:szCs w:val="21"/>
        </w:rPr>
        <w:t>data</w:t>
      </w:r>
      <w:r w:rsidR="003D1106">
        <w:rPr>
          <w:sz w:val="21"/>
          <w:szCs w:val="21"/>
        </w:rPr>
        <w:t xml:space="preserve"> in the tutorial</w:t>
      </w:r>
      <w:r>
        <w:rPr>
          <w:sz w:val="21"/>
          <w:szCs w:val="21"/>
        </w:rPr>
        <w:t xml:space="preserve"> were retrieved from the</w:t>
      </w:r>
      <w:r w:rsidR="003D1106">
        <w:rPr>
          <w:sz w:val="21"/>
          <w:szCs w:val="21"/>
        </w:rPr>
        <w:t xml:space="preserve"> European Nucleotide Archive (see Exercise 2 for accession information)</w:t>
      </w:r>
      <w:r w:rsidR="00AD5076">
        <w:rPr>
          <w:sz w:val="21"/>
          <w:szCs w:val="21"/>
        </w:rPr>
        <w:t xml:space="preserve"> but have not been published</w:t>
      </w:r>
      <w:r w:rsidR="003D1106">
        <w:rPr>
          <w:sz w:val="21"/>
          <w:szCs w:val="21"/>
        </w:rPr>
        <w:t xml:space="preserve">.  The experimental </w:t>
      </w:r>
      <w:r w:rsidR="00B23CBF">
        <w:rPr>
          <w:sz w:val="21"/>
          <w:szCs w:val="21"/>
        </w:rPr>
        <w:t>underpinning for the tutorial is</w:t>
      </w:r>
      <w:r>
        <w:rPr>
          <w:sz w:val="21"/>
          <w:szCs w:val="21"/>
        </w:rPr>
        <w:t xml:space="preserve"> a mouse Eya2-knockout versus a control</w:t>
      </w:r>
      <w:r w:rsidR="003D1106">
        <w:rPr>
          <w:sz w:val="21"/>
          <w:szCs w:val="21"/>
        </w:rPr>
        <w:t>, with RNA extracted from retinas at midnight (mid-scotophase)</w:t>
      </w:r>
      <w:r w:rsidR="00181FD6">
        <w:rPr>
          <w:sz w:val="21"/>
          <w:szCs w:val="21"/>
        </w:rPr>
        <w:t xml:space="preserve"> in – presumably – adult mice</w:t>
      </w:r>
      <w:r w:rsidR="003D1106">
        <w:rPr>
          <w:sz w:val="21"/>
          <w:szCs w:val="21"/>
        </w:rPr>
        <w:t xml:space="preserve">.  </w:t>
      </w:r>
      <w:r w:rsidR="00150F31">
        <w:rPr>
          <w:sz w:val="21"/>
          <w:szCs w:val="21"/>
        </w:rPr>
        <w:t xml:space="preserve">We excerpted 14 contiguous genes on chromosome 5 that represent a range of potential results one would find in a large-scale </w:t>
      </w:r>
      <w:r w:rsidR="00204510">
        <w:rPr>
          <w:sz w:val="21"/>
          <w:szCs w:val="21"/>
        </w:rPr>
        <w:t xml:space="preserve">project:  up-regulation, down-regulation, high and low expression, significant and nonsignificant differences, splice variants, protein-coding and non-coding genes, </w:t>
      </w:r>
      <w:r w:rsidR="005D6730">
        <w:rPr>
          <w:sz w:val="21"/>
          <w:szCs w:val="21"/>
        </w:rPr>
        <w:t xml:space="preserve">well-studied and less-known genes, </w:t>
      </w:r>
      <w:r w:rsidR="00204510">
        <w:rPr>
          <w:sz w:val="21"/>
          <w:szCs w:val="21"/>
        </w:rPr>
        <w:t>and genes with interesting potential relatio</w:t>
      </w:r>
      <w:r w:rsidR="00AE6B9D">
        <w:rPr>
          <w:sz w:val="21"/>
          <w:szCs w:val="21"/>
        </w:rPr>
        <w:t>nships with the Eya2 knockout (but not necessarily known, published associations).</w:t>
      </w:r>
      <w:r>
        <w:rPr>
          <w:sz w:val="21"/>
          <w:szCs w:val="21"/>
        </w:rPr>
        <w:t xml:space="preserve"> </w:t>
      </w:r>
    </w:p>
    <w:p w14:paraId="3083532D" w14:textId="77777777" w:rsidR="002B1EE7" w:rsidRPr="00A113A0" w:rsidRDefault="002B1EE7">
      <w:pPr>
        <w:rPr>
          <w:sz w:val="21"/>
          <w:szCs w:val="21"/>
        </w:rPr>
      </w:pPr>
    </w:p>
    <w:p w14:paraId="5AE4EAEB" w14:textId="6FC0DC5E" w:rsidR="00612BAA" w:rsidRPr="00A113A0" w:rsidRDefault="00300887">
      <w:pPr>
        <w:rPr>
          <w:sz w:val="21"/>
          <w:szCs w:val="21"/>
        </w:rPr>
      </w:pPr>
      <w:r w:rsidRPr="00AD5076">
        <w:rPr>
          <w:b/>
          <w:sz w:val="21"/>
          <w:szCs w:val="21"/>
        </w:rPr>
        <w:t>Galaxy:</w:t>
      </w:r>
      <w:r w:rsidRPr="00A113A0">
        <w:rPr>
          <w:sz w:val="21"/>
          <w:szCs w:val="21"/>
        </w:rPr>
        <w:t xml:space="preserve">  </w:t>
      </w:r>
      <w:r w:rsidR="00931103" w:rsidRPr="00A113A0">
        <w:rPr>
          <w:sz w:val="21"/>
          <w:szCs w:val="21"/>
        </w:rPr>
        <w:t>We m</w:t>
      </w:r>
      <w:r w:rsidR="00612BAA" w:rsidRPr="00A113A0">
        <w:rPr>
          <w:sz w:val="21"/>
          <w:szCs w:val="21"/>
        </w:rPr>
        <w:t>ade</w:t>
      </w:r>
      <w:r w:rsidR="00931103" w:rsidRPr="00A113A0">
        <w:rPr>
          <w:sz w:val="21"/>
          <w:szCs w:val="21"/>
        </w:rPr>
        <w:t xml:space="preserve"> a</w:t>
      </w:r>
      <w:r w:rsidR="00612BAA" w:rsidRPr="00A113A0">
        <w:rPr>
          <w:sz w:val="21"/>
          <w:szCs w:val="21"/>
        </w:rPr>
        <w:t xml:space="preserve"> pedagogical decision to use Galaxy</w:t>
      </w:r>
      <w:r w:rsidR="009D4C80" w:rsidRPr="00A113A0">
        <w:rPr>
          <w:sz w:val="21"/>
          <w:szCs w:val="21"/>
        </w:rPr>
        <w:t>’s GUI-interfaced tools</w:t>
      </w:r>
      <w:r w:rsidR="00612BAA" w:rsidRPr="00A113A0">
        <w:rPr>
          <w:sz w:val="21"/>
          <w:szCs w:val="21"/>
        </w:rPr>
        <w:t xml:space="preserve"> instead of command-line</w:t>
      </w:r>
      <w:r w:rsidR="00931103" w:rsidRPr="00A113A0">
        <w:rPr>
          <w:sz w:val="21"/>
          <w:szCs w:val="21"/>
        </w:rPr>
        <w:t xml:space="preserve"> tools</w:t>
      </w:r>
      <w:r w:rsidR="00612BAA" w:rsidRPr="00A113A0">
        <w:rPr>
          <w:sz w:val="21"/>
          <w:szCs w:val="21"/>
        </w:rPr>
        <w:t>.</w:t>
      </w:r>
      <w:r w:rsidR="009D4C80" w:rsidRPr="00A113A0">
        <w:rPr>
          <w:sz w:val="21"/>
          <w:szCs w:val="21"/>
        </w:rPr>
        <w:t xml:space="preserve">  Our goal was to remove all possible barriers to the novice student (and potentially novice instructor) and to maximize accessibility.</w:t>
      </w:r>
      <w:r w:rsidR="00612BAA" w:rsidRPr="00A113A0">
        <w:rPr>
          <w:sz w:val="21"/>
          <w:szCs w:val="21"/>
        </w:rPr>
        <w:t xml:space="preserve">  </w:t>
      </w:r>
      <w:r w:rsidR="00931103" w:rsidRPr="00A113A0">
        <w:rPr>
          <w:sz w:val="21"/>
          <w:szCs w:val="21"/>
        </w:rPr>
        <w:t>The tutorial could readily</w:t>
      </w:r>
      <w:r w:rsidR="00612BAA" w:rsidRPr="00A113A0">
        <w:rPr>
          <w:sz w:val="21"/>
          <w:szCs w:val="21"/>
        </w:rPr>
        <w:t xml:space="preserve"> be reworked for command-line</w:t>
      </w:r>
      <w:r w:rsidR="008845EF" w:rsidRPr="00A113A0">
        <w:rPr>
          <w:sz w:val="21"/>
          <w:szCs w:val="21"/>
        </w:rPr>
        <w:t xml:space="preserve"> or any other RNA-seq analysis pipeline</w:t>
      </w:r>
      <w:r w:rsidR="00355C6B" w:rsidRPr="00A113A0">
        <w:rPr>
          <w:sz w:val="21"/>
          <w:szCs w:val="21"/>
        </w:rPr>
        <w:t>; the data are simple fastq files</w:t>
      </w:r>
      <w:r w:rsidR="00612BAA" w:rsidRPr="00A113A0">
        <w:rPr>
          <w:sz w:val="21"/>
          <w:szCs w:val="21"/>
        </w:rPr>
        <w:t xml:space="preserve">.  </w:t>
      </w:r>
      <w:r w:rsidR="009D4C80" w:rsidRPr="00A113A0">
        <w:rPr>
          <w:sz w:val="21"/>
          <w:szCs w:val="21"/>
        </w:rPr>
        <w:t xml:space="preserve">Within Galaxy, we </w:t>
      </w:r>
      <w:r w:rsidR="00931103" w:rsidRPr="00A113A0">
        <w:rPr>
          <w:sz w:val="21"/>
          <w:szCs w:val="21"/>
        </w:rPr>
        <w:t xml:space="preserve">selected the Tuxedo suite of </w:t>
      </w:r>
      <w:r w:rsidR="00BB0437" w:rsidRPr="00A113A0">
        <w:rPr>
          <w:sz w:val="21"/>
          <w:szCs w:val="21"/>
        </w:rPr>
        <w:t>to</w:t>
      </w:r>
      <w:r w:rsidR="00CE3E35" w:rsidRPr="00A113A0">
        <w:rPr>
          <w:sz w:val="21"/>
          <w:szCs w:val="21"/>
        </w:rPr>
        <w:t>ols (</w:t>
      </w:r>
      <w:hyperlink r:id="rId6" w:history="1">
        <w:r w:rsidR="009D4C80" w:rsidRPr="00A113A0">
          <w:rPr>
            <w:rStyle w:val="Hyperlink"/>
            <w:sz w:val="21"/>
            <w:szCs w:val="21"/>
          </w:rPr>
          <w:t>https://www.ncbi.nlm.nih.gov/pmc/articles/PMC3334321/)</w:t>
        </w:r>
      </w:hyperlink>
      <w:r w:rsidR="00EE6A1D" w:rsidRPr="00A113A0">
        <w:rPr>
          <w:sz w:val="21"/>
          <w:szCs w:val="21"/>
        </w:rPr>
        <w:t xml:space="preserve">.   </w:t>
      </w:r>
    </w:p>
    <w:p w14:paraId="19ED0288" w14:textId="77777777" w:rsidR="009D4C80" w:rsidRPr="00A113A0" w:rsidRDefault="009D4C80">
      <w:pPr>
        <w:rPr>
          <w:sz w:val="21"/>
          <w:szCs w:val="21"/>
        </w:rPr>
      </w:pPr>
    </w:p>
    <w:p w14:paraId="7DC99DA0" w14:textId="61B05670" w:rsidR="001B0739" w:rsidRDefault="00047A0C">
      <w:pPr>
        <w:rPr>
          <w:sz w:val="21"/>
          <w:szCs w:val="21"/>
        </w:rPr>
      </w:pPr>
      <w:r w:rsidRPr="00AD5076">
        <w:rPr>
          <w:b/>
          <w:sz w:val="21"/>
          <w:szCs w:val="21"/>
        </w:rPr>
        <w:t>Visualization:</w:t>
      </w:r>
      <w:r w:rsidRPr="00A113A0">
        <w:rPr>
          <w:sz w:val="21"/>
          <w:szCs w:val="21"/>
        </w:rPr>
        <w:t xml:space="preserve">  We consider this to be a critically important component to </w:t>
      </w:r>
      <w:r w:rsidR="00BE34B2" w:rsidRPr="00A113A0">
        <w:rPr>
          <w:sz w:val="21"/>
          <w:szCs w:val="21"/>
        </w:rPr>
        <w:t>learning</w:t>
      </w:r>
      <w:r w:rsidR="0067664E" w:rsidRPr="00A113A0">
        <w:rPr>
          <w:sz w:val="21"/>
          <w:szCs w:val="21"/>
        </w:rPr>
        <w:t xml:space="preserve"> as it removes the potential abstraction of working with genomics data.  The Mini-Mouse small dataset simplifies this visualization process.  Furthermore, the</w:t>
      </w:r>
      <w:r w:rsidR="001B0739" w:rsidRPr="00A113A0">
        <w:rPr>
          <w:sz w:val="21"/>
          <w:szCs w:val="21"/>
        </w:rPr>
        <w:t xml:space="preserve"> use of Excel to work with some aspects of data analysis provides students with a sense of familiarity – the idea that big-dat</w:t>
      </w:r>
      <w:r w:rsidR="00D3068F" w:rsidRPr="00A113A0">
        <w:rPr>
          <w:sz w:val="21"/>
          <w:szCs w:val="21"/>
        </w:rPr>
        <w:t>a genomics, when scaled down, has readily-</w:t>
      </w:r>
      <w:r w:rsidR="001B0739" w:rsidRPr="00A113A0">
        <w:rPr>
          <w:sz w:val="21"/>
          <w:szCs w:val="21"/>
        </w:rPr>
        <w:t>identifiable</w:t>
      </w:r>
      <w:r w:rsidR="00D3068F" w:rsidRPr="00A113A0">
        <w:rPr>
          <w:sz w:val="21"/>
          <w:szCs w:val="21"/>
        </w:rPr>
        <w:t xml:space="preserve"> components.</w:t>
      </w:r>
    </w:p>
    <w:p w14:paraId="139C474F" w14:textId="77777777" w:rsidR="00AD5076" w:rsidRDefault="00AD5076">
      <w:pPr>
        <w:rPr>
          <w:sz w:val="21"/>
          <w:szCs w:val="21"/>
        </w:rPr>
      </w:pPr>
    </w:p>
    <w:p w14:paraId="6D686BE0" w14:textId="3468E73E" w:rsidR="00AD5076" w:rsidRPr="00A113A0" w:rsidRDefault="00335887">
      <w:pPr>
        <w:rPr>
          <w:sz w:val="21"/>
          <w:szCs w:val="21"/>
        </w:rPr>
      </w:pPr>
      <w:r>
        <w:rPr>
          <w:b/>
          <w:sz w:val="21"/>
          <w:szCs w:val="21"/>
        </w:rPr>
        <w:t xml:space="preserve">Hardware, Software, </w:t>
      </w:r>
      <w:r w:rsidR="00AD5076" w:rsidRPr="008B4B6A">
        <w:rPr>
          <w:b/>
          <w:sz w:val="21"/>
          <w:szCs w:val="21"/>
        </w:rPr>
        <w:t>Handout</w:t>
      </w:r>
      <w:r>
        <w:rPr>
          <w:b/>
          <w:sz w:val="21"/>
          <w:szCs w:val="21"/>
        </w:rPr>
        <w:t>s</w:t>
      </w:r>
      <w:r w:rsidR="00AD5076" w:rsidRPr="008B4B6A">
        <w:rPr>
          <w:b/>
          <w:sz w:val="21"/>
          <w:szCs w:val="21"/>
        </w:rPr>
        <w:t>:</w:t>
      </w:r>
      <w:r w:rsidR="00AD5076">
        <w:rPr>
          <w:sz w:val="21"/>
          <w:szCs w:val="21"/>
        </w:rPr>
        <w:t xml:space="preserve">  </w:t>
      </w:r>
      <w:r>
        <w:rPr>
          <w:sz w:val="21"/>
          <w:szCs w:val="21"/>
        </w:rPr>
        <w:t xml:space="preserve">If students are using their own computers, we recommend having them download software ahead of time in case of hardware/software issues.  </w:t>
      </w:r>
      <w:r w:rsidR="00AD5076">
        <w:rPr>
          <w:sz w:val="21"/>
          <w:szCs w:val="21"/>
        </w:rPr>
        <w:t>We find that providing students with printed handouts allows for maximum use of the computer screen for analysis, and for easier navigation back and forth through steps.</w:t>
      </w:r>
      <w:r>
        <w:rPr>
          <w:sz w:val="21"/>
          <w:szCs w:val="21"/>
        </w:rPr>
        <w:t xml:space="preserve">  </w:t>
      </w:r>
      <w:r w:rsidR="00245CCF">
        <w:rPr>
          <w:sz w:val="21"/>
          <w:szCs w:val="21"/>
        </w:rPr>
        <w:t>An accompanying electronic copy allows students to click on live links.</w:t>
      </w:r>
    </w:p>
    <w:p w14:paraId="0FC76229" w14:textId="77777777" w:rsidR="008400B4" w:rsidRPr="00A113A0" w:rsidRDefault="008400B4">
      <w:pPr>
        <w:rPr>
          <w:sz w:val="21"/>
          <w:szCs w:val="21"/>
        </w:rPr>
      </w:pPr>
    </w:p>
    <w:p w14:paraId="71FAB768" w14:textId="520EA279" w:rsidR="008400B4" w:rsidRPr="00AD5076" w:rsidRDefault="00F87A64">
      <w:pPr>
        <w:rPr>
          <w:b/>
          <w:sz w:val="21"/>
          <w:szCs w:val="21"/>
          <w:u w:val="single"/>
        </w:rPr>
      </w:pPr>
      <w:r w:rsidRPr="00AD5076">
        <w:rPr>
          <w:b/>
          <w:sz w:val="21"/>
          <w:szCs w:val="21"/>
          <w:u w:val="single"/>
        </w:rPr>
        <w:t>Scalable F</w:t>
      </w:r>
      <w:r w:rsidR="007A090A" w:rsidRPr="00AD5076">
        <w:rPr>
          <w:b/>
          <w:sz w:val="21"/>
          <w:szCs w:val="21"/>
          <w:u w:val="single"/>
        </w:rPr>
        <w:t>ormat</w:t>
      </w:r>
      <w:r w:rsidRPr="00AD5076">
        <w:rPr>
          <w:b/>
          <w:sz w:val="21"/>
          <w:szCs w:val="21"/>
          <w:u w:val="single"/>
        </w:rPr>
        <w:t xml:space="preserve"> - Recommendations</w:t>
      </w:r>
      <w:r w:rsidR="007A090A" w:rsidRPr="00AD5076">
        <w:rPr>
          <w:b/>
          <w:sz w:val="21"/>
          <w:szCs w:val="21"/>
          <w:u w:val="single"/>
        </w:rPr>
        <w:t xml:space="preserve">:  </w:t>
      </w:r>
    </w:p>
    <w:p w14:paraId="2DD447FA" w14:textId="3A4F9328" w:rsidR="002A22A9" w:rsidRPr="00A113A0" w:rsidRDefault="003617A5">
      <w:pPr>
        <w:rPr>
          <w:sz w:val="21"/>
          <w:szCs w:val="21"/>
        </w:rPr>
      </w:pPr>
      <w:r w:rsidRPr="00AD5076">
        <w:rPr>
          <w:b/>
          <w:sz w:val="21"/>
          <w:szCs w:val="21"/>
        </w:rPr>
        <w:t>Short Version</w:t>
      </w:r>
      <w:r w:rsidR="002A22A9" w:rsidRPr="00AD5076">
        <w:rPr>
          <w:b/>
          <w:sz w:val="21"/>
          <w:szCs w:val="21"/>
        </w:rPr>
        <w:t>:</w:t>
      </w:r>
      <w:r w:rsidR="0052587B" w:rsidRPr="00A113A0">
        <w:rPr>
          <w:sz w:val="21"/>
          <w:szCs w:val="21"/>
        </w:rPr>
        <w:t xml:space="preserve"> </w:t>
      </w:r>
      <w:r w:rsidR="00F87A64" w:rsidRPr="00A113A0">
        <w:rPr>
          <w:sz w:val="21"/>
          <w:szCs w:val="21"/>
        </w:rPr>
        <w:t xml:space="preserve"> Steps 1-23 </w:t>
      </w:r>
      <w:r w:rsidRPr="00A113A0">
        <w:rPr>
          <w:sz w:val="21"/>
          <w:szCs w:val="21"/>
        </w:rPr>
        <w:t>– the Galaxy data processing sequence -</w:t>
      </w:r>
      <w:r w:rsidR="00F87A64" w:rsidRPr="00A113A0">
        <w:rPr>
          <w:sz w:val="21"/>
          <w:szCs w:val="21"/>
        </w:rPr>
        <w:t xml:space="preserve"> can potentially be completed in a typical 3-hour lab period.  Note, however, that the public instance of Galaxy may not always run at optimum speed.</w:t>
      </w:r>
      <w:r w:rsidR="00782448">
        <w:rPr>
          <w:sz w:val="21"/>
          <w:szCs w:val="21"/>
        </w:rPr>
        <w:t xml:space="preserve"> </w:t>
      </w:r>
    </w:p>
    <w:p w14:paraId="219A919D" w14:textId="7E327D8D" w:rsidR="002A22A9" w:rsidRPr="00A113A0" w:rsidRDefault="003617A5">
      <w:pPr>
        <w:rPr>
          <w:sz w:val="21"/>
          <w:szCs w:val="21"/>
        </w:rPr>
      </w:pPr>
      <w:r w:rsidRPr="00AD5076">
        <w:rPr>
          <w:b/>
          <w:sz w:val="21"/>
          <w:szCs w:val="21"/>
        </w:rPr>
        <w:t>Long Version:</w:t>
      </w:r>
      <w:r w:rsidRPr="00A113A0">
        <w:rPr>
          <w:sz w:val="21"/>
          <w:szCs w:val="21"/>
        </w:rPr>
        <w:t xml:space="preserve">  </w:t>
      </w:r>
      <w:r w:rsidR="002A22A9" w:rsidRPr="00A113A0">
        <w:rPr>
          <w:sz w:val="21"/>
          <w:szCs w:val="21"/>
        </w:rPr>
        <w:t xml:space="preserve">2 lab sessions or full-day workshop:  </w:t>
      </w:r>
      <w:r w:rsidR="00F87A64" w:rsidRPr="00A113A0">
        <w:rPr>
          <w:sz w:val="21"/>
          <w:szCs w:val="21"/>
        </w:rPr>
        <w:t>The entire tutorial, including analyses downstream of Galaxy, can more feasibly be completed in two lab periods or a day-long session.</w:t>
      </w:r>
    </w:p>
    <w:p w14:paraId="72079822" w14:textId="1A64206A" w:rsidR="003617A5" w:rsidRPr="00A113A0" w:rsidRDefault="003617A5">
      <w:pPr>
        <w:rPr>
          <w:sz w:val="21"/>
          <w:szCs w:val="21"/>
        </w:rPr>
      </w:pPr>
      <w:r w:rsidRPr="00AD5076">
        <w:rPr>
          <w:b/>
          <w:sz w:val="21"/>
          <w:szCs w:val="21"/>
        </w:rPr>
        <w:t>Exercise 2:</w:t>
      </w:r>
      <w:r w:rsidRPr="00A113A0">
        <w:rPr>
          <w:sz w:val="21"/>
          <w:szCs w:val="21"/>
        </w:rPr>
        <w:t xml:space="preserve">  If running this on the public Galaxy </w:t>
      </w:r>
      <w:r w:rsidR="002D15D2">
        <w:rPr>
          <w:sz w:val="21"/>
          <w:szCs w:val="21"/>
        </w:rPr>
        <w:t>server</w:t>
      </w:r>
      <w:r w:rsidRPr="00A113A0">
        <w:rPr>
          <w:sz w:val="21"/>
          <w:szCs w:val="21"/>
        </w:rPr>
        <w:t>, we recommend allowing students a week in case of slow running times, errors, trouble-shooting, etc.  A typical run-time for TopHat, the most t</w:t>
      </w:r>
      <w:r w:rsidR="00260CBC" w:rsidRPr="00A113A0">
        <w:rPr>
          <w:sz w:val="21"/>
          <w:szCs w:val="21"/>
        </w:rPr>
        <w:t>ime</w:t>
      </w:r>
      <w:r w:rsidR="00C83E36">
        <w:rPr>
          <w:sz w:val="21"/>
          <w:szCs w:val="21"/>
        </w:rPr>
        <w:t xml:space="preserve">-consuming step, is 12-24 hours, but this can be </w:t>
      </w:r>
      <w:r w:rsidR="004713F0">
        <w:rPr>
          <w:sz w:val="21"/>
          <w:szCs w:val="21"/>
        </w:rPr>
        <w:t>variable.</w:t>
      </w:r>
    </w:p>
    <w:p w14:paraId="0532CFDF" w14:textId="77777777" w:rsidR="00EF3107" w:rsidRPr="00A113A0" w:rsidRDefault="00EF3107">
      <w:pPr>
        <w:rPr>
          <w:sz w:val="21"/>
          <w:szCs w:val="21"/>
        </w:rPr>
      </w:pPr>
    </w:p>
    <w:p w14:paraId="7867E409" w14:textId="6A740110" w:rsidR="00107026" w:rsidRPr="00AD5076" w:rsidRDefault="00107026">
      <w:pPr>
        <w:rPr>
          <w:b/>
          <w:sz w:val="21"/>
          <w:szCs w:val="21"/>
        </w:rPr>
      </w:pPr>
      <w:r w:rsidRPr="00AD5076">
        <w:rPr>
          <w:b/>
          <w:sz w:val="21"/>
          <w:szCs w:val="21"/>
        </w:rPr>
        <w:t>Part 1:  Mini-Mouse Tutorial:</w:t>
      </w:r>
    </w:p>
    <w:p w14:paraId="65210DA0" w14:textId="70DAE11B" w:rsidR="009F4C32" w:rsidRPr="00A113A0" w:rsidRDefault="009F4C32">
      <w:pPr>
        <w:rPr>
          <w:sz w:val="21"/>
          <w:szCs w:val="21"/>
        </w:rPr>
      </w:pPr>
      <w:r w:rsidRPr="00A113A0">
        <w:rPr>
          <w:sz w:val="21"/>
          <w:szCs w:val="21"/>
        </w:rPr>
        <w:t>Preparation for the skills needed to run the full-scale Jax experiment:</w:t>
      </w:r>
    </w:p>
    <w:p w14:paraId="40149668" w14:textId="576F0089" w:rsidR="009F4C32" w:rsidRPr="00AD5076" w:rsidRDefault="009F4C32" w:rsidP="00AD5076">
      <w:pPr>
        <w:pStyle w:val="ListParagraph"/>
        <w:numPr>
          <w:ilvl w:val="1"/>
          <w:numId w:val="2"/>
        </w:numPr>
        <w:rPr>
          <w:sz w:val="21"/>
          <w:szCs w:val="21"/>
        </w:rPr>
      </w:pPr>
      <w:r w:rsidRPr="00AD5076">
        <w:rPr>
          <w:sz w:val="21"/>
          <w:szCs w:val="21"/>
        </w:rPr>
        <w:t>Mechanics</w:t>
      </w:r>
      <w:r w:rsidR="006875D5" w:rsidRPr="00AD5076">
        <w:rPr>
          <w:sz w:val="21"/>
          <w:szCs w:val="21"/>
        </w:rPr>
        <w:t xml:space="preserve"> and navigation</w:t>
      </w:r>
      <w:r w:rsidRPr="00AD5076">
        <w:rPr>
          <w:sz w:val="21"/>
          <w:szCs w:val="21"/>
        </w:rPr>
        <w:t xml:space="preserve"> of Galaxy</w:t>
      </w:r>
    </w:p>
    <w:p w14:paraId="5F6531C6" w14:textId="2D49B130" w:rsidR="009F4C32" w:rsidRPr="00AD5076" w:rsidRDefault="009F4C32" w:rsidP="00AD5076">
      <w:pPr>
        <w:pStyle w:val="ListParagraph"/>
        <w:numPr>
          <w:ilvl w:val="1"/>
          <w:numId w:val="2"/>
        </w:numPr>
        <w:rPr>
          <w:sz w:val="21"/>
          <w:szCs w:val="21"/>
        </w:rPr>
      </w:pPr>
      <w:r w:rsidRPr="00AD5076">
        <w:rPr>
          <w:sz w:val="21"/>
          <w:szCs w:val="21"/>
        </w:rPr>
        <w:t>Navigation of tools and web resources</w:t>
      </w:r>
    </w:p>
    <w:p w14:paraId="23DE64D9" w14:textId="425A5D7D" w:rsidR="0052587B" w:rsidRPr="00AD5076" w:rsidRDefault="0052587B" w:rsidP="00AD5076">
      <w:pPr>
        <w:pStyle w:val="ListParagraph"/>
        <w:numPr>
          <w:ilvl w:val="1"/>
          <w:numId w:val="2"/>
        </w:numPr>
        <w:rPr>
          <w:sz w:val="21"/>
          <w:szCs w:val="21"/>
        </w:rPr>
      </w:pPr>
      <w:r w:rsidRPr="00AD5076">
        <w:rPr>
          <w:sz w:val="21"/>
          <w:szCs w:val="21"/>
        </w:rPr>
        <w:t>Comprehension of purpose of each step in the analysis pipeline</w:t>
      </w:r>
    </w:p>
    <w:p w14:paraId="17FAB409" w14:textId="2023B0AD" w:rsidR="009F4C32" w:rsidRPr="00AD5076" w:rsidRDefault="009F4C32" w:rsidP="00AD5076">
      <w:pPr>
        <w:pStyle w:val="ListParagraph"/>
        <w:numPr>
          <w:ilvl w:val="1"/>
          <w:numId w:val="2"/>
        </w:numPr>
        <w:rPr>
          <w:sz w:val="21"/>
          <w:szCs w:val="21"/>
        </w:rPr>
      </w:pPr>
      <w:r w:rsidRPr="00AD5076">
        <w:rPr>
          <w:sz w:val="21"/>
          <w:szCs w:val="21"/>
        </w:rPr>
        <w:t>Troubleshooting</w:t>
      </w:r>
    </w:p>
    <w:p w14:paraId="5ADA9476" w14:textId="3D23330D" w:rsidR="00765D02" w:rsidRPr="00AD5076" w:rsidRDefault="006875D5" w:rsidP="00AD5076">
      <w:pPr>
        <w:pStyle w:val="ListParagraph"/>
        <w:numPr>
          <w:ilvl w:val="1"/>
          <w:numId w:val="2"/>
        </w:numPr>
        <w:rPr>
          <w:sz w:val="21"/>
          <w:szCs w:val="21"/>
        </w:rPr>
      </w:pPr>
      <w:r w:rsidRPr="00AD5076">
        <w:rPr>
          <w:sz w:val="21"/>
          <w:szCs w:val="21"/>
        </w:rPr>
        <w:t>Critical thinking about experimental design</w:t>
      </w:r>
    </w:p>
    <w:p w14:paraId="1282D8E6" w14:textId="38536BF1" w:rsidR="003F4909" w:rsidRPr="00AD5076" w:rsidRDefault="003F4909" w:rsidP="00AD5076">
      <w:pPr>
        <w:pStyle w:val="ListParagraph"/>
        <w:numPr>
          <w:ilvl w:val="1"/>
          <w:numId w:val="2"/>
        </w:numPr>
        <w:rPr>
          <w:sz w:val="21"/>
          <w:szCs w:val="21"/>
        </w:rPr>
      </w:pPr>
      <w:r w:rsidRPr="00AD5076">
        <w:rPr>
          <w:sz w:val="21"/>
          <w:szCs w:val="21"/>
        </w:rPr>
        <w:t>Data management</w:t>
      </w:r>
    </w:p>
    <w:p w14:paraId="35749331" w14:textId="28B61B62" w:rsidR="006875D5" w:rsidRPr="00AD5076" w:rsidRDefault="006875D5" w:rsidP="00AD5076">
      <w:pPr>
        <w:pStyle w:val="ListParagraph"/>
        <w:numPr>
          <w:ilvl w:val="1"/>
          <w:numId w:val="2"/>
        </w:numPr>
        <w:rPr>
          <w:sz w:val="21"/>
          <w:szCs w:val="21"/>
        </w:rPr>
      </w:pPr>
      <w:r w:rsidRPr="00AD5076">
        <w:rPr>
          <w:sz w:val="21"/>
          <w:szCs w:val="21"/>
        </w:rPr>
        <w:t>Interpretation of results – quantitatively, conceptually</w:t>
      </w:r>
    </w:p>
    <w:p w14:paraId="53D001EC" w14:textId="64C17241" w:rsidR="006875D5" w:rsidRPr="00AD5076" w:rsidRDefault="006875D5" w:rsidP="00AD5076">
      <w:pPr>
        <w:pStyle w:val="ListParagraph"/>
        <w:numPr>
          <w:ilvl w:val="1"/>
          <w:numId w:val="2"/>
        </w:numPr>
        <w:rPr>
          <w:sz w:val="21"/>
          <w:szCs w:val="21"/>
        </w:rPr>
      </w:pPr>
      <w:r w:rsidRPr="00AD5076">
        <w:rPr>
          <w:sz w:val="21"/>
          <w:szCs w:val="21"/>
        </w:rPr>
        <w:t>Downstream pathway analysis</w:t>
      </w:r>
    </w:p>
    <w:p w14:paraId="61FDEB3F" w14:textId="77777777" w:rsidR="001815CE" w:rsidRPr="00A113A0" w:rsidRDefault="001815CE">
      <w:pPr>
        <w:rPr>
          <w:sz w:val="21"/>
          <w:szCs w:val="21"/>
        </w:rPr>
      </w:pPr>
    </w:p>
    <w:p w14:paraId="455C1394" w14:textId="42E18D7E" w:rsidR="00107026" w:rsidRPr="00335887" w:rsidRDefault="00107026" w:rsidP="00107026">
      <w:pPr>
        <w:rPr>
          <w:b/>
          <w:sz w:val="21"/>
          <w:szCs w:val="21"/>
        </w:rPr>
      </w:pPr>
      <w:r w:rsidRPr="00335887">
        <w:rPr>
          <w:b/>
          <w:sz w:val="21"/>
          <w:szCs w:val="21"/>
        </w:rPr>
        <w:t>Part 2:</w:t>
      </w:r>
      <w:r w:rsidR="001815CE" w:rsidRPr="00335887">
        <w:rPr>
          <w:b/>
          <w:sz w:val="21"/>
          <w:szCs w:val="21"/>
        </w:rPr>
        <w:t xml:space="preserve">  Bigger Dataset Assignment:</w:t>
      </w:r>
    </w:p>
    <w:p w14:paraId="5943B955" w14:textId="5ECF089D" w:rsidR="00BD19BD" w:rsidRPr="00335887" w:rsidRDefault="00BD19BD" w:rsidP="00335887">
      <w:pPr>
        <w:pStyle w:val="ListParagraph"/>
        <w:numPr>
          <w:ilvl w:val="0"/>
          <w:numId w:val="3"/>
        </w:numPr>
        <w:rPr>
          <w:sz w:val="21"/>
          <w:szCs w:val="21"/>
        </w:rPr>
      </w:pPr>
      <w:r w:rsidRPr="00335887">
        <w:rPr>
          <w:sz w:val="21"/>
          <w:szCs w:val="21"/>
        </w:rPr>
        <w:t>Reinforce skills from Mini-Mouse</w:t>
      </w:r>
    </w:p>
    <w:p w14:paraId="1E1BB8F6" w14:textId="289375F5" w:rsidR="00BD19BD" w:rsidRPr="00335887" w:rsidRDefault="00BD19BD" w:rsidP="00335887">
      <w:pPr>
        <w:pStyle w:val="ListParagraph"/>
        <w:numPr>
          <w:ilvl w:val="0"/>
          <w:numId w:val="3"/>
        </w:numPr>
        <w:rPr>
          <w:sz w:val="21"/>
          <w:szCs w:val="21"/>
        </w:rPr>
      </w:pPr>
      <w:r w:rsidRPr="00335887">
        <w:rPr>
          <w:sz w:val="21"/>
          <w:szCs w:val="21"/>
        </w:rPr>
        <w:t>Reinforce experimental design concepts</w:t>
      </w:r>
    </w:p>
    <w:p w14:paraId="07A928FF" w14:textId="77777777" w:rsidR="0052587B" w:rsidRPr="00335887" w:rsidRDefault="0052587B" w:rsidP="00335887">
      <w:pPr>
        <w:pStyle w:val="ListParagraph"/>
        <w:numPr>
          <w:ilvl w:val="0"/>
          <w:numId w:val="3"/>
        </w:numPr>
        <w:rPr>
          <w:sz w:val="21"/>
          <w:szCs w:val="21"/>
        </w:rPr>
      </w:pPr>
      <w:r w:rsidRPr="00335887">
        <w:rPr>
          <w:sz w:val="21"/>
          <w:szCs w:val="21"/>
        </w:rPr>
        <w:t>Build confidence in ability to run a full analysis of a big dataset</w:t>
      </w:r>
    </w:p>
    <w:p w14:paraId="75F7EA58" w14:textId="42E63132" w:rsidR="009F4C32" w:rsidRDefault="009F4C32">
      <w:pPr>
        <w:rPr>
          <w:sz w:val="21"/>
          <w:szCs w:val="21"/>
        </w:rPr>
      </w:pPr>
    </w:p>
    <w:p w14:paraId="25DC6D50" w14:textId="77777777" w:rsidR="00CA12D0" w:rsidRDefault="00CA12D0">
      <w:pPr>
        <w:rPr>
          <w:sz w:val="21"/>
          <w:szCs w:val="21"/>
        </w:rPr>
      </w:pPr>
    </w:p>
    <w:p w14:paraId="145A6A23" w14:textId="77777777" w:rsidR="00CA12D0" w:rsidRDefault="00CA12D0">
      <w:pPr>
        <w:rPr>
          <w:sz w:val="21"/>
          <w:szCs w:val="21"/>
        </w:rPr>
      </w:pPr>
    </w:p>
    <w:p w14:paraId="6BA66C8C" w14:textId="77777777" w:rsidR="00CA12D0" w:rsidRDefault="00CA12D0">
      <w:pPr>
        <w:rPr>
          <w:sz w:val="21"/>
          <w:szCs w:val="21"/>
        </w:rPr>
      </w:pPr>
    </w:p>
    <w:p w14:paraId="3B2ED3E0" w14:textId="0E831238" w:rsidR="00CA12D0" w:rsidRPr="00B84453" w:rsidRDefault="00CA12D0">
      <w:pPr>
        <w:rPr>
          <w:b/>
          <w:color w:val="1737CF"/>
          <w:sz w:val="21"/>
          <w:szCs w:val="21"/>
          <w:u w:val="single"/>
        </w:rPr>
      </w:pPr>
      <w:r w:rsidRPr="00B84453">
        <w:rPr>
          <w:b/>
          <w:color w:val="1737CF"/>
          <w:sz w:val="21"/>
          <w:szCs w:val="21"/>
          <w:u w:val="single"/>
        </w:rPr>
        <w:t>Additional Pathway Analysis Tools and Information:</w:t>
      </w:r>
    </w:p>
    <w:p w14:paraId="7A663985" w14:textId="2AF92407" w:rsidR="00B84453" w:rsidRPr="00C275B9" w:rsidRDefault="00CA12D0" w:rsidP="00B84453">
      <w:pPr>
        <w:rPr>
          <w:sz w:val="21"/>
          <w:szCs w:val="21"/>
        </w:rPr>
      </w:pPr>
      <w:r>
        <w:rPr>
          <w:sz w:val="21"/>
          <w:szCs w:val="21"/>
        </w:rPr>
        <w:t xml:space="preserve">While Mini-Mouse uses only two pathway analysis tools, </w:t>
      </w:r>
      <w:r w:rsidR="00B84453">
        <w:rPr>
          <w:sz w:val="21"/>
          <w:szCs w:val="21"/>
        </w:rPr>
        <w:t>n</w:t>
      </w:r>
      <w:r w:rsidR="00B84453" w:rsidRPr="00C275B9">
        <w:rPr>
          <w:sz w:val="21"/>
          <w:szCs w:val="21"/>
        </w:rPr>
        <w:t xml:space="preserve">umerous tools have been developed for differential gene expression </w:t>
      </w:r>
      <w:r w:rsidR="00B84453">
        <w:rPr>
          <w:sz w:val="21"/>
          <w:szCs w:val="21"/>
        </w:rPr>
        <w:t xml:space="preserve">downstream </w:t>
      </w:r>
      <w:r w:rsidR="00B84453" w:rsidRPr="00C275B9">
        <w:rPr>
          <w:sz w:val="21"/>
          <w:szCs w:val="21"/>
        </w:rPr>
        <w:t>analysis.  Each offers different ways to visualize relationships among differentially-expressed genes. The best approa</w:t>
      </w:r>
      <w:r w:rsidR="00B84453">
        <w:rPr>
          <w:sz w:val="21"/>
          <w:szCs w:val="21"/>
        </w:rPr>
        <w:t>ch is to try an assortment of these.</w:t>
      </w:r>
      <w:r w:rsidR="00B84453" w:rsidRPr="00C275B9">
        <w:rPr>
          <w:sz w:val="21"/>
          <w:szCs w:val="21"/>
        </w:rPr>
        <w:t xml:space="preserve"> </w:t>
      </w:r>
    </w:p>
    <w:p w14:paraId="3EB9A970" w14:textId="77777777" w:rsidR="00B84453" w:rsidRPr="00C275B9" w:rsidRDefault="00B84453" w:rsidP="00B84453">
      <w:pPr>
        <w:rPr>
          <w:sz w:val="21"/>
          <w:szCs w:val="21"/>
        </w:rPr>
      </w:pPr>
    </w:p>
    <w:p w14:paraId="73A60CEB" w14:textId="77777777" w:rsidR="00B84453" w:rsidRPr="00B84453" w:rsidRDefault="00B84453" w:rsidP="00B84453">
      <w:pPr>
        <w:rPr>
          <w:b/>
          <w:color w:val="1737CF"/>
          <w:sz w:val="21"/>
          <w:szCs w:val="21"/>
          <w:u w:val="single"/>
        </w:rPr>
      </w:pPr>
      <w:r w:rsidRPr="00B84453">
        <w:rPr>
          <w:b/>
          <w:color w:val="1737CF"/>
          <w:sz w:val="21"/>
          <w:szCs w:val="21"/>
          <w:u w:val="single"/>
        </w:rPr>
        <w:t>See this website for insights:</w:t>
      </w:r>
    </w:p>
    <w:p w14:paraId="444A8E67" w14:textId="77777777" w:rsidR="00B84453" w:rsidRPr="00C275B9" w:rsidRDefault="00E54289" w:rsidP="00B84453">
      <w:pPr>
        <w:rPr>
          <w:sz w:val="21"/>
          <w:szCs w:val="21"/>
        </w:rPr>
      </w:pPr>
      <w:hyperlink r:id="rId7" w:history="1">
        <w:r w:rsidR="00B84453" w:rsidRPr="00C275B9">
          <w:rPr>
            <w:rStyle w:val="Hyperlink"/>
            <w:sz w:val="21"/>
            <w:szCs w:val="21"/>
          </w:rPr>
          <w:t>http://www.gettinggeneticsdone.com/2012/03/pathway-analysis-for-high-throughput.html</w:t>
        </w:r>
      </w:hyperlink>
    </w:p>
    <w:p w14:paraId="7B45E925" w14:textId="77777777" w:rsidR="00B84453" w:rsidRPr="00C275B9" w:rsidRDefault="00B84453" w:rsidP="00B84453">
      <w:pPr>
        <w:rPr>
          <w:sz w:val="21"/>
          <w:szCs w:val="21"/>
        </w:rPr>
      </w:pPr>
    </w:p>
    <w:p w14:paraId="440E2794" w14:textId="77777777" w:rsidR="00B84453" w:rsidRPr="00B84453" w:rsidRDefault="00B84453" w:rsidP="00B84453">
      <w:pPr>
        <w:rPr>
          <w:b/>
          <w:color w:val="1737CF"/>
          <w:sz w:val="21"/>
          <w:szCs w:val="21"/>
          <w:u w:val="single"/>
        </w:rPr>
      </w:pPr>
      <w:r w:rsidRPr="00B84453">
        <w:rPr>
          <w:b/>
          <w:color w:val="1737CF"/>
          <w:sz w:val="21"/>
          <w:szCs w:val="21"/>
          <w:u w:val="single"/>
        </w:rPr>
        <w:t>Also see:</w:t>
      </w:r>
    </w:p>
    <w:p w14:paraId="6E112B69" w14:textId="77777777" w:rsidR="00B84453" w:rsidRPr="00C275B9" w:rsidRDefault="00B84453" w:rsidP="00B84453">
      <w:pPr>
        <w:rPr>
          <w:sz w:val="21"/>
          <w:szCs w:val="21"/>
        </w:rPr>
      </w:pPr>
      <w:r w:rsidRPr="00C275B9">
        <w:rPr>
          <w:b/>
          <w:i/>
          <w:sz w:val="21"/>
          <w:szCs w:val="21"/>
        </w:rPr>
        <w:t>Ten Years of Pathway Analysis: Current Approaches and Outstanding Challenges</w:t>
      </w:r>
      <w:r w:rsidRPr="00C275B9">
        <w:rPr>
          <w:sz w:val="21"/>
          <w:szCs w:val="21"/>
        </w:rPr>
        <w:t xml:space="preserve"> </w:t>
      </w:r>
    </w:p>
    <w:p w14:paraId="23BB4266" w14:textId="77777777" w:rsidR="00B84453" w:rsidRPr="00C275B9" w:rsidRDefault="00E54289" w:rsidP="00B84453">
      <w:pPr>
        <w:rPr>
          <w:sz w:val="21"/>
          <w:szCs w:val="21"/>
        </w:rPr>
      </w:pPr>
      <w:hyperlink r:id="rId8" w:history="1">
        <w:r w:rsidR="00B84453" w:rsidRPr="00C275B9">
          <w:rPr>
            <w:rStyle w:val="Hyperlink"/>
            <w:sz w:val="21"/>
            <w:szCs w:val="21"/>
          </w:rPr>
          <w:t>http://journals.plos.org/ploscompbiol/article?id=10.1371/journal.pcbi.1002375</w:t>
        </w:r>
      </w:hyperlink>
    </w:p>
    <w:p w14:paraId="61EF0238" w14:textId="77777777" w:rsidR="00B84453" w:rsidRPr="00C275B9" w:rsidRDefault="00B84453" w:rsidP="00B84453">
      <w:pPr>
        <w:rPr>
          <w:sz w:val="21"/>
          <w:szCs w:val="21"/>
        </w:rPr>
      </w:pPr>
    </w:p>
    <w:p w14:paraId="2934FCE8" w14:textId="77777777" w:rsidR="00B84453" w:rsidRPr="00B84453" w:rsidRDefault="00B84453" w:rsidP="00B84453">
      <w:pPr>
        <w:rPr>
          <w:b/>
          <w:color w:val="1737CF"/>
          <w:sz w:val="21"/>
          <w:szCs w:val="21"/>
          <w:u w:val="single"/>
        </w:rPr>
      </w:pPr>
      <w:r w:rsidRPr="00B84453">
        <w:rPr>
          <w:b/>
          <w:color w:val="1737CF"/>
          <w:sz w:val="21"/>
          <w:szCs w:val="21"/>
          <w:u w:val="single"/>
        </w:rPr>
        <w:t>Tools:</w:t>
      </w:r>
    </w:p>
    <w:p w14:paraId="70D70C99" w14:textId="77777777" w:rsidR="00B84453" w:rsidRPr="00C275B9" w:rsidRDefault="00B84453" w:rsidP="00B84453">
      <w:pPr>
        <w:rPr>
          <w:sz w:val="21"/>
          <w:szCs w:val="21"/>
        </w:rPr>
      </w:pPr>
      <w:r w:rsidRPr="00C275B9">
        <w:rPr>
          <w:b/>
          <w:color w:val="1737CF"/>
          <w:sz w:val="21"/>
          <w:szCs w:val="21"/>
        </w:rPr>
        <w:t>GeneCards:</w:t>
      </w:r>
      <w:r w:rsidRPr="00C275B9">
        <w:rPr>
          <w:color w:val="1737CF"/>
          <w:sz w:val="21"/>
          <w:szCs w:val="21"/>
        </w:rPr>
        <w:t xml:space="preserve">  </w:t>
      </w:r>
      <w:r w:rsidRPr="00C275B9">
        <w:rPr>
          <w:sz w:val="21"/>
          <w:szCs w:val="21"/>
        </w:rPr>
        <w:t xml:space="preserve">Basic Gene-by-Gene information  </w:t>
      </w:r>
      <w:hyperlink r:id="rId9" w:history="1">
        <w:r w:rsidRPr="00C275B9">
          <w:rPr>
            <w:rStyle w:val="Hyperlink"/>
            <w:sz w:val="21"/>
            <w:szCs w:val="21"/>
          </w:rPr>
          <w:t>http://www.genecards.org/</w:t>
        </w:r>
      </w:hyperlink>
      <w:r w:rsidRPr="00C275B9">
        <w:rPr>
          <w:sz w:val="21"/>
          <w:szCs w:val="21"/>
        </w:rPr>
        <w:t xml:space="preserve">  </w:t>
      </w:r>
    </w:p>
    <w:p w14:paraId="050B2BE4" w14:textId="77777777" w:rsidR="00B84453" w:rsidRPr="00C275B9" w:rsidRDefault="00B84453" w:rsidP="00B84453">
      <w:pPr>
        <w:rPr>
          <w:sz w:val="21"/>
          <w:szCs w:val="21"/>
        </w:rPr>
      </w:pPr>
      <w:r w:rsidRPr="00C275B9">
        <w:rPr>
          <w:b/>
          <w:color w:val="1737CF"/>
          <w:sz w:val="21"/>
          <w:szCs w:val="21"/>
        </w:rPr>
        <w:t>GO</w:t>
      </w:r>
      <w:r w:rsidRPr="00C275B9">
        <w:rPr>
          <w:sz w:val="21"/>
          <w:szCs w:val="21"/>
        </w:rPr>
        <w:t xml:space="preserve"> – </w:t>
      </w:r>
      <w:r w:rsidRPr="00C275B9">
        <w:rPr>
          <w:b/>
          <w:color w:val="1737CF"/>
          <w:sz w:val="21"/>
          <w:szCs w:val="21"/>
        </w:rPr>
        <w:t>Gene Ontology Enrichment Analysis</w:t>
      </w:r>
      <w:r w:rsidRPr="00C275B9">
        <w:rPr>
          <w:sz w:val="21"/>
          <w:szCs w:val="21"/>
        </w:rPr>
        <w:t xml:space="preserve">:  </w:t>
      </w:r>
      <w:hyperlink r:id="rId10" w:history="1">
        <w:r w:rsidRPr="00C275B9">
          <w:rPr>
            <w:rStyle w:val="Hyperlink"/>
            <w:sz w:val="21"/>
            <w:szCs w:val="21"/>
          </w:rPr>
          <w:t>http://www.geneontology.org/</w:t>
        </w:r>
      </w:hyperlink>
    </w:p>
    <w:p w14:paraId="189F894C" w14:textId="77777777" w:rsidR="00B84453" w:rsidRPr="00C275B9" w:rsidRDefault="00B84453" w:rsidP="00B84453">
      <w:pPr>
        <w:rPr>
          <w:sz w:val="21"/>
          <w:szCs w:val="21"/>
        </w:rPr>
      </w:pPr>
      <w:r w:rsidRPr="00C275B9">
        <w:rPr>
          <w:b/>
          <w:color w:val="1737CF"/>
          <w:sz w:val="21"/>
          <w:szCs w:val="21"/>
        </w:rPr>
        <w:t>GO PANTHER:</w:t>
      </w:r>
      <w:r w:rsidRPr="00C275B9">
        <w:rPr>
          <w:color w:val="1737CF"/>
          <w:sz w:val="21"/>
          <w:szCs w:val="21"/>
        </w:rPr>
        <w:t xml:space="preserve"> </w:t>
      </w:r>
      <w:hyperlink r:id="rId11" w:history="1">
        <w:r w:rsidRPr="00C275B9">
          <w:rPr>
            <w:rStyle w:val="Hyperlink"/>
            <w:sz w:val="21"/>
            <w:szCs w:val="21"/>
          </w:rPr>
          <w:t>http://pantherdb.org/</w:t>
        </w:r>
      </w:hyperlink>
    </w:p>
    <w:p w14:paraId="3B62D651" w14:textId="77777777" w:rsidR="00B84453" w:rsidRPr="00C275B9" w:rsidRDefault="00B84453" w:rsidP="00B84453">
      <w:pPr>
        <w:rPr>
          <w:sz w:val="21"/>
          <w:szCs w:val="21"/>
        </w:rPr>
      </w:pPr>
      <w:r w:rsidRPr="00C275B9">
        <w:rPr>
          <w:b/>
          <w:color w:val="1737CF"/>
          <w:sz w:val="21"/>
          <w:szCs w:val="21"/>
        </w:rPr>
        <w:t>STRING:</w:t>
      </w:r>
      <w:r w:rsidRPr="00C275B9">
        <w:rPr>
          <w:color w:val="1737CF"/>
          <w:sz w:val="21"/>
          <w:szCs w:val="21"/>
        </w:rPr>
        <w:t xml:space="preserve">  </w:t>
      </w:r>
      <w:hyperlink r:id="rId12" w:history="1">
        <w:r w:rsidRPr="00C275B9">
          <w:rPr>
            <w:rStyle w:val="Hyperlink"/>
            <w:sz w:val="21"/>
            <w:szCs w:val="21"/>
          </w:rPr>
          <w:t>http://string-db.org/</w:t>
        </w:r>
      </w:hyperlink>
    </w:p>
    <w:p w14:paraId="59C4B39F" w14:textId="77777777" w:rsidR="00B84453" w:rsidRPr="00C275B9" w:rsidRDefault="00B84453" w:rsidP="00B84453">
      <w:pPr>
        <w:rPr>
          <w:sz w:val="21"/>
          <w:szCs w:val="21"/>
        </w:rPr>
      </w:pPr>
      <w:r w:rsidRPr="00C275B9">
        <w:rPr>
          <w:b/>
          <w:color w:val="1737CF"/>
          <w:sz w:val="21"/>
          <w:szCs w:val="21"/>
        </w:rPr>
        <w:t>ENRICHr:</w:t>
      </w:r>
      <w:r w:rsidRPr="00C275B9">
        <w:rPr>
          <w:color w:val="1737CF"/>
          <w:sz w:val="21"/>
          <w:szCs w:val="21"/>
        </w:rPr>
        <w:t xml:space="preserve">  </w:t>
      </w:r>
      <w:hyperlink r:id="rId13" w:history="1">
        <w:r w:rsidRPr="00C275B9">
          <w:rPr>
            <w:rStyle w:val="Hyperlink"/>
            <w:sz w:val="21"/>
            <w:szCs w:val="21"/>
          </w:rPr>
          <w:t>http://amp.pharm.mssm.edu/Enrichr/</w:t>
        </w:r>
      </w:hyperlink>
      <w:r w:rsidRPr="00C275B9">
        <w:rPr>
          <w:sz w:val="21"/>
          <w:szCs w:val="21"/>
        </w:rPr>
        <w:t xml:space="preserve">  (meta-database)</w:t>
      </w:r>
    </w:p>
    <w:p w14:paraId="6A2BBE90" w14:textId="77777777" w:rsidR="00B84453" w:rsidRPr="00C275B9" w:rsidRDefault="00B84453" w:rsidP="00B84453">
      <w:pPr>
        <w:rPr>
          <w:sz w:val="21"/>
          <w:szCs w:val="21"/>
        </w:rPr>
      </w:pPr>
      <w:r w:rsidRPr="00C275B9">
        <w:rPr>
          <w:b/>
          <w:color w:val="1737CF"/>
          <w:sz w:val="21"/>
          <w:szCs w:val="21"/>
        </w:rPr>
        <w:t>GORILLA:</w:t>
      </w:r>
      <w:r w:rsidRPr="00C275B9">
        <w:rPr>
          <w:color w:val="1737CF"/>
          <w:sz w:val="21"/>
          <w:szCs w:val="21"/>
        </w:rPr>
        <w:t xml:space="preserve">  </w:t>
      </w:r>
      <w:hyperlink r:id="rId14" w:history="1">
        <w:r w:rsidRPr="00C275B9">
          <w:rPr>
            <w:rStyle w:val="Hyperlink"/>
            <w:sz w:val="21"/>
            <w:szCs w:val="21"/>
          </w:rPr>
          <w:t>http://cbl-gorilla.cs.technion.ac.il/</w:t>
        </w:r>
      </w:hyperlink>
    </w:p>
    <w:p w14:paraId="2B3A986B" w14:textId="77777777" w:rsidR="00B84453" w:rsidRPr="00C275B9" w:rsidRDefault="00B84453" w:rsidP="00B84453">
      <w:pPr>
        <w:rPr>
          <w:sz w:val="21"/>
          <w:szCs w:val="21"/>
        </w:rPr>
      </w:pPr>
      <w:r w:rsidRPr="00C275B9">
        <w:rPr>
          <w:b/>
          <w:color w:val="1737CF"/>
          <w:sz w:val="21"/>
          <w:szCs w:val="21"/>
        </w:rPr>
        <w:t>MSigDB:</w:t>
      </w:r>
      <w:r w:rsidRPr="00C275B9">
        <w:rPr>
          <w:color w:val="1737CF"/>
          <w:sz w:val="21"/>
          <w:szCs w:val="21"/>
        </w:rPr>
        <w:t xml:space="preserve">  </w:t>
      </w:r>
      <w:hyperlink r:id="rId15" w:history="1">
        <w:r w:rsidRPr="00C275B9">
          <w:rPr>
            <w:rStyle w:val="Hyperlink"/>
            <w:sz w:val="21"/>
            <w:szCs w:val="21"/>
          </w:rPr>
          <w:t>http://software.broadinstitute.org/gsea/msigdb</w:t>
        </w:r>
      </w:hyperlink>
    </w:p>
    <w:p w14:paraId="01F60F40" w14:textId="77777777" w:rsidR="00B84453" w:rsidRPr="00C275B9" w:rsidRDefault="00B84453" w:rsidP="00B84453">
      <w:pPr>
        <w:rPr>
          <w:sz w:val="21"/>
          <w:szCs w:val="21"/>
        </w:rPr>
      </w:pPr>
      <w:r w:rsidRPr="00C275B9">
        <w:rPr>
          <w:b/>
          <w:color w:val="1737CF"/>
          <w:sz w:val="21"/>
          <w:szCs w:val="21"/>
        </w:rPr>
        <w:t>DAVID:</w:t>
      </w:r>
      <w:r w:rsidRPr="00C275B9">
        <w:rPr>
          <w:color w:val="1737CF"/>
          <w:sz w:val="21"/>
          <w:szCs w:val="21"/>
        </w:rPr>
        <w:t xml:space="preserve">  </w:t>
      </w:r>
      <w:hyperlink r:id="rId16" w:history="1">
        <w:r w:rsidRPr="00C275B9">
          <w:rPr>
            <w:rStyle w:val="Hyperlink"/>
            <w:sz w:val="21"/>
            <w:szCs w:val="21"/>
          </w:rPr>
          <w:t>https://david.ncifcrf.gov/</w:t>
        </w:r>
      </w:hyperlink>
    </w:p>
    <w:p w14:paraId="57B3BD93" w14:textId="77777777" w:rsidR="00B84453" w:rsidRPr="00C275B9" w:rsidRDefault="00B84453" w:rsidP="00B84453">
      <w:pPr>
        <w:rPr>
          <w:sz w:val="21"/>
          <w:szCs w:val="21"/>
        </w:rPr>
      </w:pPr>
      <w:r w:rsidRPr="00C275B9">
        <w:rPr>
          <w:b/>
          <w:color w:val="1737CF"/>
          <w:sz w:val="21"/>
          <w:szCs w:val="21"/>
        </w:rPr>
        <w:t>Consensus</w:t>
      </w:r>
      <w:r w:rsidRPr="00C275B9">
        <w:rPr>
          <w:b/>
          <w:sz w:val="21"/>
          <w:szCs w:val="21"/>
        </w:rPr>
        <w:t xml:space="preserve"> </w:t>
      </w:r>
      <w:r w:rsidRPr="00C275B9">
        <w:rPr>
          <w:b/>
          <w:color w:val="1737CF"/>
          <w:sz w:val="21"/>
          <w:szCs w:val="21"/>
        </w:rPr>
        <w:t>Path DataBase</w:t>
      </w:r>
      <w:r w:rsidRPr="00C275B9">
        <w:rPr>
          <w:color w:val="1737CF"/>
          <w:sz w:val="21"/>
          <w:szCs w:val="21"/>
        </w:rPr>
        <w:t xml:space="preserve"> </w:t>
      </w:r>
      <w:r w:rsidRPr="00C275B9">
        <w:rPr>
          <w:sz w:val="21"/>
          <w:szCs w:val="21"/>
        </w:rPr>
        <w:t xml:space="preserve">– CPDB:  </w:t>
      </w:r>
      <w:hyperlink r:id="rId17" w:history="1">
        <w:r w:rsidRPr="00C275B9">
          <w:rPr>
            <w:rStyle w:val="Hyperlink"/>
            <w:sz w:val="21"/>
            <w:szCs w:val="21"/>
          </w:rPr>
          <w:t>http://cpdb.molgen.mpg.de</w:t>
        </w:r>
      </w:hyperlink>
      <w:r w:rsidRPr="00C275B9">
        <w:rPr>
          <w:sz w:val="21"/>
          <w:szCs w:val="21"/>
        </w:rPr>
        <w:t xml:space="preserve"> (meta-database)</w:t>
      </w:r>
    </w:p>
    <w:p w14:paraId="257C9A81" w14:textId="77777777" w:rsidR="00B84453" w:rsidRPr="00C275B9" w:rsidRDefault="00B84453" w:rsidP="00B84453">
      <w:pPr>
        <w:rPr>
          <w:sz w:val="21"/>
          <w:szCs w:val="21"/>
        </w:rPr>
      </w:pPr>
      <w:r w:rsidRPr="00C275B9">
        <w:rPr>
          <w:b/>
          <w:color w:val="1737CF"/>
          <w:sz w:val="21"/>
          <w:szCs w:val="21"/>
        </w:rPr>
        <w:t>iPathwayGuide</w:t>
      </w:r>
      <w:r w:rsidRPr="00C275B9">
        <w:rPr>
          <w:sz w:val="21"/>
          <w:szCs w:val="21"/>
        </w:rPr>
        <w:t xml:space="preserve"> (free for a few days):  </w:t>
      </w:r>
      <w:hyperlink r:id="rId18" w:history="1">
        <w:r w:rsidRPr="00C275B9">
          <w:rPr>
            <w:rStyle w:val="Hyperlink"/>
            <w:sz w:val="21"/>
            <w:szCs w:val="21"/>
          </w:rPr>
          <w:t>https://www.advaitabio.com/ipathwayguide.html</w:t>
        </w:r>
      </w:hyperlink>
    </w:p>
    <w:p w14:paraId="38401923" w14:textId="77777777" w:rsidR="00B84453" w:rsidRPr="00C275B9" w:rsidRDefault="00B84453" w:rsidP="00B84453">
      <w:pPr>
        <w:rPr>
          <w:sz w:val="21"/>
          <w:szCs w:val="21"/>
        </w:rPr>
      </w:pPr>
      <w:r w:rsidRPr="00C275B9">
        <w:rPr>
          <w:b/>
          <w:color w:val="1737CF"/>
          <w:sz w:val="21"/>
          <w:szCs w:val="21"/>
        </w:rPr>
        <w:t>CPDB:</w:t>
      </w:r>
      <w:r w:rsidRPr="00C275B9">
        <w:rPr>
          <w:color w:val="1737CF"/>
          <w:sz w:val="21"/>
          <w:szCs w:val="21"/>
        </w:rPr>
        <w:t xml:space="preserve">  </w:t>
      </w:r>
      <w:hyperlink r:id="rId19" w:history="1">
        <w:r w:rsidRPr="00C275B9">
          <w:rPr>
            <w:rStyle w:val="Hyperlink"/>
            <w:sz w:val="21"/>
            <w:szCs w:val="21"/>
          </w:rPr>
          <w:t>http://cpdb.molgen.mpg.de/</w:t>
        </w:r>
      </w:hyperlink>
    </w:p>
    <w:p w14:paraId="0E111821" w14:textId="77777777" w:rsidR="00B84453" w:rsidRPr="00C275B9" w:rsidRDefault="00B84453" w:rsidP="00B84453">
      <w:pPr>
        <w:rPr>
          <w:sz w:val="21"/>
          <w:szCs w:val="21"/>
        </w:rPr>
      </w:pPr>
      <w:r w:rsidRPr="00C275B9">
        <w:rPr>
          <w:b/>
          <w:color w:val="1737CF"/>
          <w:sz w:val="21"/>
          <w:szCs w:val="21"/>
        </w:rPr>
        <w:t>GeneMANIA:</w:t>
      </w:r>
      <w:r w:rsidRPr="00C275B9">
        <w:rPr>
          <w:color w:val="1737CF"/>
          <w:sz w:val="21"/>
          <w:szCs w:val="21"/>
        </w:rPr>
        <w:t xml:space="preserve">  </w:t>
      </w:r>
      <w:hyperlink r:id="rId20" w:history="1">
        <w:r w:rsidRPr="00C275B9">
          <w:rPr>
            <w:rStyle w:val="Hyperlink"/>
            <w:sz w:val="21"/>
            <w:szCs w:val="21"/>
          </w:rPr>
          <w:t>http://genemania.org/</w:t>
        </w:r>
      </w:hyperlink>
      <w:r w:rsidRPr="00C275B9">
        <w:rPr>
          <w:sz w:val="21"/>
          <w:szCs w:val="21"/>
        </w:rPr>
        <w:t xml:space="preserve">  (good for smaller subset of genes or a single gene of interest – high-density information)</w:t>
      </w:r>
    </w:p>
    <w:p w14:paraId="40D7573F" w14:textId="77777777" w:rsidR="00B84453" w:rsidRPr="00C275B9" w:rsidRDefault="00B84453" w:rsidP="00B84453">
      <w:pPr>
        <w:rPr>
          <w:sz w:val="21"/>
          <w:szCs w:val="21"/>
        </w:rPr>
      </w:pPr>
      <w:r w:rsidRPr="00C275B9">
        <w:rPr>
          <w:b/>
          <w:color w:val="1737CF"/>
          <w:sz w:val="21"/>
          <w:szCs w:val="21"/>
        </w:rPr>
        <w:t>Reactome:</w:t>
      </w:r>
      <w:r w:rsidRPr="00C275B9">
        <w:rPr>
          <w:color w:val="1737CF"/>
          <w:sz w:val="21"/>
          <w:szCs w:val="21"/>
        </w:rPr>
        <w:t xml:space="preserve">  </w:t>
      </w:r>
      <w:hyperlink r:id="rId21" w:history="1">
        <w:r w:rsidRPr="00C275B9">
          <w:rPr>
            <w:rStyle w:val="Hyperlink"/>
            <w:sz w:val="21"/>
            <w:szCs w:val="21"/>
          </w:rPr>
          <w:t>http://www.reactome.org/</w:t>
        </w:r>
      </w:hyperlink>
      <w:r w:rsidRPr="00C275B9">
        <w:rPr>
          <w:sz w:val="21"/>
          <w:szCs w:val="21"/>
        </w:rPr>
        <w:t xml:space="preserve">  (an especially rich/dense pathway visualization tool)</w:t>
      </w:r>
    </w:p>
    <w:p w14:paraId="203ADAA3" w14:textId="77777777" w:rsidR="00B84453" w:rsidRPr="00C275B9" w:rsidRDefault="00B84453" w:rsidP="00B84453">
      <w:pPr>
        <w:rPr>
          <w:sz w:val="21"/>
          <w:szCs w:val="21"/>
        </w:rPr>
      </w:pPr>
      <w:r w:rsidRPr="00C275B9">
        <w:rPr>
          <w:b/>
          <w:i/>
          <w:color w:val="1737CF"/>
          <w:sz w:val="21"/>
          <w:szCs w:val="21"/>
        </w:rPr>
        <w:t>WikiPathways:</w:t>
      </w:r>
      <w:r w:rsidRPr="00C275B9">
        <w:rPr>
          <w:color w:val="1737CF"/>
          <w:sz w:val="21"/>
          <w:szCs w:val="21"/>
        </w:rPr>
        <w:t xml:space="preserve">  </w:t>
      </w:r>
      <w:hyperlink r:id="rId22" w:history="1">
        <w:r w:rsidRPr="00C275B9">
          <w:rPr>
            <w:rStyle w:val="Hyperlink"/>
            <w:sz w:val="21"/>
            <w:szCs w:val="21"/>
          </w:rPr>
          <w:t>http://www.wikipathways.org/index.php/WikiPathways</w:t>
        </w:r>
      </w:hyperlink>
      <w:r w:rsidRPr="00C275B9">
        <w:rPr>
          <w:sz w:val="21"/>
          <w:szCs w:val="21"/>
        </w:rPr>
        <w:t xml:space="preserve">  (a good way to view particular pathways once you’ve identified a pathway you’re interested in – not for analysis of list of genes)</w:t>
      </w:r>
    </w:p>
    <w:p w14:paraId="0CE27563" w14:textId="77777777" w:rsidR="00B84453" w:rsidRPr="00C275B9" w:rsidRDefault="00B84453" w:rsidP="00B84453">
      <w:pPr>
        <w:rPr>
          <w:sz w:val="21"/>
          <w:szCs w:val="21"/>
        </w:rPr>
      </w:pPr>
    </w:p>
    <w:p w14:paraId="71DEF088" w14:textId="77777777" w:rsidR="00B84453" w:rsidRPr="00A113A0" w:rsidRDefault="00B84453">
      <w:pPr>
        <w:rPr>
          <w:sz w:val="21"/>
          <w:szCs w:val="21"/>
        </w:rPr>
      </w:pPr>
    </w:p>
    <w:sectPr w:rsidR="00B84453" w:rsidRPr="00A113A0" w:rsidSect="00AD507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85D1E"/>
    <w:multiLevelType w:val="hybridMultilevel"/>
    <w:tmpl w:val="01B00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3C3412"/>
    <w:multiLevelType w:val="hybridMultilevel"/>
    <w:tmpl w:val="88A48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37674E"/>
    <w:multiLevelType w:val="hybridMultilevel"/>
    <w:tmpl w:val="CD142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6E04"/>
    <w:rsid w:val="00047A0C"/>
    <w:rsid w:val="00107026"/>
    <w:rsid w:val="00126E04"/>
    <w:rsid w:val="00150F31"/>
    <w:rsid w:val="001547CD"/>
    <w:rsid w:val="0016534D"/>
    <w:rsid w:val="001815CE"/>
    <w:rsid w:val="00181FD6"/>
    <w:rsid w:val="001B0739"/>
    <w:rsid w:val="00204510"/>
    <w:rsid w:val="00245CCF"/>
    <w:rsid w:val="00260CBC"/>
    <w:rsid w:val="002A22A9"/>
    <w:rsid w:val="002B1EE7"/>
    <w:rsid w:val="002D15D2"/>
    <w:rsid w:val="00300887"/>
    <w:rsid w:val="00335887"/>
    <w:rsid w:val="00355C6B"/>
    <w:rsid w:val="003617A5"/>
    <w:rsid w:val="00391298"/>
    <w:rsid w:val="00391638"/>
    <w:rsid w:val="003D1106"/>
    <w:rsid w:val="003D1E76"/>
    <w:rsid w:val="003F4909"/>
    <w:rsid w:val="004713F0"/>
    <w:rsid w:val="0052587B"/>
    <w:rsid w:val="00571121"/>
    <w:rsid w:val="005D6730"/>
    <w:rsid w:val="00612BAA"/>
    <w:rsid w:val="0067664E"/>
    <w:rsid w:val="006875D5"/>
    <w:rsid w:val="00765D02"/>
    <w:rsid w:val="00782448"/>
    <w:rsid w:val="007A090A"/>
    <w:rsid w:val="007B7787"/>
    <w:rsid w:val="008400B4"/>
    <w:rsid w:val="008845EF"/>
    <w:rsid w:val="008B4B6A"/>
    <w:rsid w:val="00931103"/>
    <w:rsid w:val="00993330"/>
    <w:rsid w:val="009D4C80"/>
    <w:rsid w:val="009F4C32"/>
    <w:rsid w:val="00A113A0"/>
    <w:rsid w:val="00A136BF"/>
    <w:rsid w:val="00A73750"/>
    <w:rsid w:val="00AD5076"/>
    <w:rsid w:val="00AE6B9D"/>
    <w:rsid w:val="00B23CBF"/>
    <w:rsid w:val="00B84453"/>
    <w:rsid w:val="00BB0437"/>
    <w:rsid w:val="00BC2132"/>
    <w:rsid w:val="00BD19BD"/>
    <w:rsid w:val="00BD3657"/>
    <w:rsid w:val="00BE34B2"/>
    <w:rsid w:val="00C83E36"/>
    <w:rsid w:val="00CA12D0"/>
    <w:rsid w:val="00CE3E35"/>
    <w:rsid w:val="00CF0860"/>
    <w:rsid w:val="00D3068F"/>
    <w:rsid w:val="00D60391"/>
    <w:rsid w:val="00E02F56"/>
    <w:rsid w:val="00E54289"/>
    <w:rsid w:val="00E54DBD"/>
    <w:rsid w:val="00EE6A1D"/>
    <w:rsid w:val="00EF3107"/>
    <w:rsid w:val="00F87A64"/>
    <w:rsid w:val="00FD411E"/>
    <w:rsid w:val="00FF1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50B56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D4C8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D507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B84453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D4C8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D507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B8445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ournals.plos.org/ploscompbiol/article?id=10.1371/journal.pcbi.1002375" TargetMode="External"/><Relationship Id="rId13" Type="http://schemas.openxmlformats.org/officeDocument/2006/relationships/hyperlink" Target="http://amp.pharm.mssm.edu/Enrichr/" TargetMode="External"/><Relationship Id="rId18" Type="http://schemas.openxmlformats.org/officeDocument/2006/relationships/hyperlink" Target="https://www.advaitabio.com/ipathwayguide.html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www.reactome.org/" TargetMode="External"/><Relationship Id="rId7" Type="http://schemas.openxmlformats.org/officeDocument/2006/relationships/hyperlink" Target="http://www.gettinggeneticsdone.com/2012/03/pathway-analysis-for-high-throughput.html" TargetMode="External"/><Relationship Id="rId12" Type="http://schemas.openxmlformats.org/officeDocument/2006/relationships/hyperlink" Target="http://string-db.org/" TargetMode="External"/><Relationship Id="rId17" Type="http://schemas.openxmlformats.org/officeDocument/2006/relationships/hyperlink" Target="http://cpdb.molgen.mpg.de" TargetMode="External"/><Relationship Id="rId2" Type="http://schemas.openxmlformats.org/officeDocument/2006/relationships/styles" Target="styles.xml"/><Relationship Id="rId16" Type="http://schemas.openxmlformats.org/officeDocument/2006/relationships/hyperlink" Target="https://david.ncifcrf.gov/" TargetMode="External"/><Relationship Id="rId20" Type="http://schemas.openxmlformats.org/officeDocument/2006/relationships/hyperlink" Target="http://genemania.org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ncbi.nlm.nih.gov/pmc/articles/PMC3334321/)" TargetMode="External"/><Relationship Id="rId11" Type="http://schemas.openxmlformats.org/officeDocument/2006/relationships/hyperlink" Target="http://pantherdb.org/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software.broadinstitute.org/gsea/msigdb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www.geneontology.org/" TargetMode="External"/><Relationship Id="rId19" Type="http://schemas.openxmlformats.org/officeDocument/2006/relationships/hyperlink" Target="http://cpdb.molgen.mpg.de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genecards.org/" TargetMode="External"/><Relationship Id="rId14" Type="http://schemas.openxmlformats.org/officeDocument/2006/relationships/hyperlink" Target="http://cbl-gorilla.cs.technion.ac.il/" TargetMode="External"/><Relationship Id="rId22" Type="http://schemas.openxmlformats.org/officeDocument/2006/relationships/hyperlink" Target="http://www.wikipathways.org/index.php/WikiPathway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937</Words>
  <Characters>5344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Jackson Laboratory</Company>
  <LinksUpToDate>false</LinksUpToDate>
  <CharactersWithSpaces>6269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The Jackson Laboratory</cp:lastModifiedBy>
  <cp:revision>2</cp:revision>
  <dcterms:created xsi:type="dcterms:W3CDTF">2017-05-16T15:24:00Z</dcterms:created>
  <dcterms:modified xsi:type="dcterms:W3CDTF">2017-05-16T15:24:00Z</dcterms:modified>
</cp:coreProperties>
</file>