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p>
    <w:p>
      <w:pPr>
        <w:spacing w:after="80" w:before="0"/>
      </w:pPr>
      <w:r>
        <w:rPr>
          <w:rFonts w:ascii="Arial" w:cs="Arial" w:eastAsia="Arial" w:hAnsi="Arial"/>
          <w:b/>
          <w:bCs/>
          <w:color w:val="6B4226"/>
          <w:sz w:val="64"/>
          <w:szCs w:val="64"/>
        </w:rPr>
        <w:t xml:space="preserve">DUG</w:t>
      </w:r>
    </w:p>
    <w:p>
      <w:pPr>
        <w:spacing w:after="60" w:before="0"/>
      </w:pPr>
      <w:r>
        <w:rPr>
          <w:rFonts w:ascii="Arial" w:cs="Arial" w:eastAsia="Arial" w:hAnsi="Arial"/>
          <w:color w:val="666666"/>
          <w:sz w:val="28"/>
          <w:szCs w:val="28"/>
        </w:rPr>
        <w:t xml:space="preserve">Decentralized Underwriting Group</w:t>
      </w:r>
    </w:p>
    <w:p>
      <w:pPr>
        <w:spacing w:after="40" w:before="0"/>
      </w:pPr>
      <w:r>
        <w:rPr>
          <w:rFonts w:ascii="Arial" w:cs="Arial" w:eastAsia="Arial" w:hAnsi="Arial"/>
          <w:b/>
          <w:bCs/>
          <w:color w:val="1A1A1A"/>
          <w:sz w:val="36"/>
          <w:szCs w:val="36"/>
        </w:rPr>
        <w:t xml:space="preserve">Build Session Summary</w:t>
      </w:r>
    </w:p>
    <w:p>
      <w:pPr>
        <w:spacing w:after="40" w:before="0"/>
      </w:pPr>
      <w:r>
        <w:rPr>
          <w:rFonts w:ascii="Arial" w:cs="Arial" w:eastAsia="Arial" w:hAnsi="Arial"/>
          <w:color w:val="666666"/>
          <w:sz w:val="22"/>
          <w:szCs w:val="22"/>
        </w:rPr>
        <w:t xml:space="preserve">May 4, 2026  |  Prepared for Ben Volkmer</w:t>
      </w:r>
    </w:p>
    <w:p>
      <w:pPr>
        <w:pBdr>
          <w:bottom w:val="single" w:color="C8832A" w:sz="4" w:space="1"/>
        </w:pBdr>
        <w:spacing w:after="12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32A" w:sz="8"/>
              <w:left w:val="single" w:color="E8C87A" w:sz="1"/>
              <w:bottom w:val="single" w:color="E8C87A" w:sz="1"/>
              <w:right w:val="single" w:color="E8C87A" w:sz="1"/>
            </w:tcBorders>
            <w:shd w:fill="FEF6EE" w:val="clear"/>
            <w:tcMar>
              <w:top w:type="dxa" w:w="120"/>
              <w:left w:type="dxa" w:w="180"/>
              <w:bottom w:type="dxa" w:w="120"/>
              <w:right w:type="dxa" w:w="180"/>
            </w:tcMar>
          </w:tcPr>
          <w:p>
            <w:r>
              <w:rPr>
                <w:rFonts w:ascii="Arial" w:cs="Arial" w:eastAsia="Arial" w:hAnsi="Arial"/>
                <w:color w:val="1A1A1A"/>
                <w:sz w:val="22"/>
                <w:szCs w:val="22"/>
              </w:rPr>
              <w:t xml:space="preserve">This document summarizes all platform changes, database migrations, new features, and strategic documents produced in the current build session. Everything described here has been built and pushed to GitHub unless otherwise noted.</w:t>
            </w:r>
          </w:p>
        </w:tc>
      </w:tr>
    </w:tbl>
    <w:p>
      <w:pPr>
        <w:spacing w:after="160" w:before="0"/>
      </w:pPr>
    </w:p>
    <w:p>
      <w:pPr>
        <w:pStyle w:val="Heading1"/>
        <w:spacing w:after="120" w:before="400"/>
      </w:pPr>
      <w:r>
        <w:rPr>
          <w:rFonts w:ascii="Arial" w:cs="Arial" w:eastAsia="Arial" w:hAnsi="Arial"/>
          <w:b/>
          <w:bCs/>
          <w:color w:val="6B4226"/>
          <w:sz w:val="28"/>
          <w:szCs w:val="28"/>
        </w:rPr>
        <w:t xml:space="preserve">1.  Engagement Tier &amp; Fee System</w:t>
      </w:r>
    </w:p>
    <w:p>
      <w:pPr>
        <w:spacing w:after="160" w:before="0"/>
      </w:pPr>
      <w:r>
        <w:rPr>
          <w:rFonts w:ascii="Arial" w:cs="Arial" w:eastAsia="Arial" w:hAnsi="Arial"/>
          <w:color w:val="1A1A1A"/>
          <w:sz w:val="22"/>
          <w:szCs w:val="22"/>
        </w:rPr>
        <w:t xml:space="preserve">We implemented a server-side engagement tier system that automatically classifies every job posting by requester type and applies the corresponding platform fee. The tier is derived in actions.ts — requesters never set it manually. A color-coded tier badge on the post-job form shows the classification in real time.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B6040" w:sz="1"/>
              <w:left w:val="single" w:color="8B6040" w:sz="1"/>
              <w:bottom w:val="single" w:color="8B6040" w:sz="1"/>
              <w:right w:val="single" w:color="8B6040" w:sz="1"/>
            </w:tcBorders>
            <w:shd w:fill="6B4226" w:val="clear"/>
            <w:tcMar>
              <w:top w:type="dxa" w:w="80"/>
              <w:left w:type="dxa" w:w="110"/>
              <w:bottom w:type="dxa" w:w="80"/>
              <w:right w:type="dxa" w:w="110"/>
            </w:tcMar>
          </w:tcPr>
          <w:p>
            <w:r>
              <w:rPr>
                <w:rFonts w:ascii="Arial" w:cs="Arial" w:eastAsia="Arial" w:hAnsi="Arial"/>
                <w:b/>
                <w:bCs/>
                <w:color w:val="FFFFFF"/>
                <w:sz w:val="20"/>
                <w:szCs w:val="20"/>
              </w:rPr>
              <w:t xml:space="preserve">Tier</w:t>
            </w:r>
          </w:p>
        </w:tc>
        <w:tc>
          <w:tcPr>
            <w:tcW w:type="dxa" w:w="2340"/>
            <w:tcBorders>
              <w:top w:val="single" w:color="8B6040" w:sz="1"/>
              <w:left w:val="single" w:color="8B6040" w:sz="1"/>
              <w:bottom w:val="single" w:color="8B6040" w:sz="1"/>
              <w:right w:val="single" w:color="8B6040" w:sz="1"/>
            </w:tcBorders>
            <w:shd w:fill="6B4226" w:val="clear"/>
            <w:tcMar>
              <w:top w:type="dxa" w:w="80"/>
              <w:left w:type="dxa" w:w="110"/>
              <w:bottom w:type="dxa" w:w="80"/>
              <w:right w:type="dxa" w:w="110"/>
            </w:tcMar>
          </w:tcPr>
          <w:p>
            <w:r>
              <w:rPr>
                <w:rFonts w:ascii="Arial" w:cs="Arial" w:eastAsia="Arial" w:hAnsi="Arial"/>
                <w:b/>
                <w:bCs/>
                <w:color w:val="FFFFFF"/>
                <w:sz w:val="20"/>
                <w:szCs w:val="20"/>
              </w:rPr>
              <w:t xml:space="preserve">Who</w:t>
            </w:r>
          </w:p>
        </w:tc>
        <w:tc>
          <w:tcPr>
            <w:tcW w:type="dxa" w:w="2340"/>
            <w:tcBorders>
              <w:top w:val="single" w:color="8B6040" w:sz="1"/>
              <w:left w:val="single" w:color="8B6040" w:sz="1"/>
              <w:bottom w:val="single" w:color="8B6040" w:sz="1"/>
              <w:right w:val="single" w:color="8B6040" w:sz="1"/>
            </w:tcBorders>
            <w:shd w:fill="6B4226" w:val="clear"/>
            <w:tcMar>
              <w:top w:type="dxa" w:w="80"/>
              <w:left w:type="dxa" w:w="110"/>
              <w:bottom w:type="dxa" w:w="80"/>
              <w:right w:type="dxa" w:w="110"/>
            </w:tcMar>
          </w:tcPr>
          <w:p>
            <w:r>
              <w:rPr>
                <w:rFonts w:ascii="Arial" w:cs="Arial" w:eastAsia="Arial" w:hAnsi="Arial"/>
                <w:b/>
                <w:bCs/>
                <w:color w:val="FFFFFF"/>
                <w:sz w:val="20"/>
                <w:szCs w:val="20"/>
              </w:rPr>
              <w:t xml:space="preserve">Platform Fee</w:t>
            </w:r>
          </w:p>
        </w:tc>
        <w:tc>
          <w:tcPr>
            <w:tcW w:type="dxa" w:w="2340"/>
            <w:tcBorders>
              <w:top w:val="single" w:color="8B6040" w:sz="1"/>
              <w:left w:val="single" w:color="8B6040" w:sz="1"/>
              <w:bottom w:val="single" w:color="8B6040" w:sz="1"/>
              <w:right w:val="single" w:color="8B6040" w:sz="1"/>
            </w:tcBorders>
            <w:shd w:fill="6B4226" w:val="clear"/>
            <w:tcMar>
              <w:top w:type="dxa" w:w="80"/>
              <w:left w:type="dxa" w:w="110"/>
              <w:bottom w:type="dxa" w:w="80"/>
              <w:right w:type="dxa" w:w="110"/>
            </w:tcMar>
          </w:tcPr>
          <w:p>
            <w:r>
              <w:rPr>
                <w:rFonts w:ascii="Arial" w:cs="Arial" w:eastAsia="Arial" w:hAnsi="Arial"/>
                <w:b/>
                <w:bCs/>
                <w:color w:val="FFFFFF"/>
                <w:sz w:val="20"/>
                <w:szCs w:val="20"/>
              </w:rPr>
              <w:t xml:space="preserve">Note</w:t>
            </w:r>
          </w:p>
        </w:tc>
      </w:tr>
      <w:tr>
        <w:tc>
          <w:tcPr>
            <w:tcW w:type="dxa" w:w="2340"/>
            <w:tcBorders>
              <w:top w:val="single" w:color="D5C9BE" w:sz="1"/>
              <w:left w:val="single" w:color="D5C9BE" w:sz="1"/>
              <w:bottom w:val="single" w:color="D5C9BE" w:sz="1"/>
              <w:right w:val="single" w:color="D5C9BE" w:sz="1"/>
            </w:tcBorders>
            <w:shd w:fill="FEF6EE" w:val="clear"/>
            <w:tcMar>
              <w:top w:type="dxa" w:w="80"/>
              <w:left w:type="dxa" w:w="110"/>
              <w:bottom w:type="dxa" w:w="80"/>
              <w:right w:type="dxa" w:w="110"/>
            </w:tcMar>
          </w:tcPr>
          <w:p>
            <w:r>
              <w:rPr>
                <w:rFonts w:ascii="Arial" w:cs="Arial" w:eastAsia="Arial" w:hAnsi="Arial"/>
                <w:b w:val="false"/>
                <w:bCs w:val="false"/>
                <w:color w:val="1A1A1A"/>
                <w:sz w:val="20"/>
                <w:szCs w:val="20"/>
              </w:rPr>
              <w:t xml:space="preserve">Consumer</w:t>
            </w:r>
          </w:p>
        </w:tc>
        <w:tc>
          <w:tcPr>
            <w:tcW w:type="dxa" w:w="2340"/>
            <w:tcBorders>
              <w:top w:val="single" w:color="D5C9BE" w:sz="1"/>
              <w:left w:val="single" w:color="D5C9BE" w:sz="1"/>
              <w:bottom w:val="single" w:color="D5C9BE" w:sz="1"/>
              <w:right w:val="single" w:color="D5C9BE" w:sz="1"/>
            </w:tcBorders>
            <w:shd w:fill="FEF6EE" w:val="clear"/>
            <w:tcMar>
              <w:top w:type="dxa" w:w="80"/>
              <w:left w:type="dxa" w:w="110"/>
              <w:bottom w:type="dxa" w:w="80"/>
              <w:right w:type="dxa" w:w="110"/>
            </w:tcMar>
          </w:tcPr>
          <w:p>
            <w:r>
              <w:rPr>
                <w:rFonts w:ascii="Arial" w:cs="Arial" w:eastAsia="Arial" w:hAnsi="Arial"/>
                <w:b w:val="false"/>
                <w:bCs w:val="false"/>
                <w:color w:val="1A1A1A"/>
                <w:sz w:val="20"/>
                <w:szCs w:val="20"/>
              </w:rPr>
              <w:t xml:space="preserve">Individual / personal lines</w:t>
            </w:r>
          </w:p>
        </w:tc>
        <w:tc>
          <w:tcPr>
            <w:tcW w:type="dxa" w:w="2340"/>
            <w:tcBorders>
              <w:top w:val="single" w:color="D5C9BE" w:sz="1"/>
              <w:left w:val="single" w:color="D5C9BE" w:sz="1"/>
              <w:bottom w:val="single" w:color="D5C9BE" w:sz="1"/>
              <w:right w:val="single" w:color="D5C9BE" w:sz="1"/>
            </w:tcBorders>
            <w:shd w:fill="FEF6EE" w:val="clear"/>
            <w:tcMar>
              <w:top w:type="dxa" w:w="80"/>
              <w:left w:type="dxa" w:w="110"/>
              <w:bottom w:type="dxa" w:w="80"/>
              <w:right w:type="dxa" w:w="110"/>
            </w:tcMar>
          </w:tcPr>
          <w:p>
            <w:r>
              <w:rPr>
                <w:rFonts w:ascii="Arial" w:cs="Arial" w:eastAsia="Arial" w:hAnsi="Arial"/>
                <w:b w:val="false"/>
                <w:bCs w:val="false"/>
                <w:color w:val="1A1A1A"/>
                <w:sz w:val="20"/>
                <w:szCs w:val="20"/>
              </w:rPr>
              <w:t xml:space="preserve">20%</w:t>
            </w:r>
          </w:p>
        </w:tc>
        <w:tc>
          <w:tcPr>
            <w:tcW w:type="dxa" w:w="2340"/>
            <w:tcBorders>
              <w:top w:val="single" w:color="D5C9BE" w:sz="1"/>
              <w:left w:val="single" w:color="D5C9BE" w:sz="1"/>
              <w:bottom w:val="single" w:color="D5C9BE" w:sz="1"/>
              <w:right w:val="single" w:color="D5C9BE" w:sz="1"/>
            </w:tcBorders>
            <w:shd w:fill="FEF6EE" w:val="clear"/>
            <w:tcMar>
              <w:top w:type="dxa" w:w="80"/>
              <w:left w:type="dxa" w:w="110"/>
              <w:bottom w:type="dxa" w:w="80"/>
              <w:right w:type="dxa" w:w="110"/>
            </w:tcMar>
          </w:tcPr>
          <w:p>
            <w:r>
              <w:rPr>
                <w:rFonts w:ascii="Arial" w:cs="Arial" w:eastAsia="Arial" w:hAnsi="Arial"/>
                <w:b w:val="false"/>
                <w:bCs w:val="false"/>
                <w:color w:val="1A1A1A"/>
                <w:sz w:val="20"/>
                <w:szCs w:val="20"/>
              </w:rPr>
              <w:t xml:space="preserve">Advisory cap applies</w:t>
            </w:r>
          </w:p>
        </w:tc>
      </w:tr>
      <w:tr>
        <w:tc>
          <w:tcPr>
            <w:tcW w:type="dxa" w:w="234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Professional</w:t>
            </w:r>
          </w:p>
        </w:tc>
        <w:tc>
          <w:tcPr>
            <w:tcW w:type="dxa" w:w="234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Broker, agent, risk mgr, commercial insured, tech/AI</w:t>
            </w:r>
          </w:p>
        </w:tc>
        <w:tc>
          <w:tcPr>
            <w:tcW w:type="dxa" w:w="234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15%</w:t>
            </w:r>
          </w:p>
        </w:tc>
        <w:tc>
          <w:tcPr>
            <w:tcW w:type="dxa" w:w="234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Broadest segment</w:t>
            </w:r>
          </w:p>
        </w:tc>
      </w:tr>
      <w:tr>
        <w:tc>
          <w:tcPr>
            <w:tcW w:type="dxa" w:w="234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Enterprise</w:t>
            </w:r>
          </w:p>
        </w:tc>
        <w:tc>
          <w:tcPr>
            <w:tcW w:type="dxa" w:w="234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Carrier, MGA, reinsurer</w:t>
            </w:r>
          </w:p>
        </w:tc>
        <w:tc>
          <w:tcPr>
            <w:tcW w:type="dxa" w:w="234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10%</w:t>
            </w:r>
          </w:p>
        </w:tc>
        <w:tc>
          <w:tcPr>
            <w:tcW w:type="dxa" w:w="234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SLA selector unlocked</w:t>
            </w:r>
          </w:p>
        </w:tc>
      </w:tr>
      <w:tr>
        <w:tc>
          <w:tcPr>
            <w:tcW w:type="dxa" w:w="234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Strategic</w:t>
            </w:r>
          </w:p>
        </w:tc>
        <w:tc>
          <w:tcPr>
            <w:tcW w:type="dxa" w:w="234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Partners (future)</w:t>
            </w:r>
          </w:p>
        </w:tc>
        <w:tc>
          <w:tcPr>
            <w:tcW w:type="dxa" w:w="234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7.5%</w:t>
            </w:r>
          </w:p>
        </w:tc>
        <w:tc>
          <w:tcPr>
            <w:tcW w:type="dxa" w:w="234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Partner-sourced jobs</w:t>
            </w:r>
          </w:p>
        </w:tc>
      </w:tr>
    </w:tbl>
    <w:p>
      <w:pPr>
        <w:spacing w:after="120" w:before="0"/>
      </w:pPr>
    </w:p>
    <w:p>
      <w:pPr>
        <w:spacing w:after="160" w:before="0"/>
      </w:pPr>
      <w:r>
        <w:rPr>
          <w:rFonts w:ascii="Arial" w:cs="Arial" w:eastAsia="Arial" w:hAnsi="Arial"/>
          <w:color w:val="1A1A1A"/>
          <w:sz w:val="22"/>
          <w:szCs w:val="22"/>
        </w:rPr>
        <w:t xml:space="preserve">Both engagement_tier and platform_fee_bps are persisted on every job row in Supabase.</w:t>
      </w:r>
    </w:p>
    <w:p>
      <w:pPr>
        <w:pStyle w:val="Heading1"/>
        <w:spacing w:after="120" w:before="400"/>
      </w:pPr>
      <w:r>
        <w:rPr>
          <w:rFonts w:ascii="Arial" w:cs="Arial" w:eastAsia="Arial" w:hAnsi="Arial"/>
          <w:b/>
          <w:bCs/>
          <w:color w:val="6B4226"/>
          <w:sz w:val="28"/>
          <w:szCs w:val="28"/>
        </w:rPr>
        <w:t xml:space="preserve">2.  Database Migrations</w:t>
      </w:r>
    </w:p>
    <w:p>
      <w:pPr>
        <w:spacing w:after="160" w:before="0"/>
      </w:pPr>
      <w:r>
        <w:rPr>
          <w:rFonts w:ascii="Arial" w:cs="Arial" w:eastAsia="Arial" w:hAnsi="Arial"/>
          <w:color w:val="1A1A1A"/>
          <w:sz w:val="22"/>
          <w:szCs w:val="22"/>
        </w:rPr>
        <w:t xml:space="preserve">The following columns were added to the jobs table in Supabase:</w:t>
      </w:r>
    </w:p>
    <w:p>
      <w:pPr>
        <w:spacing w:after="40" w:before="0"/>
      </w:pPr>
    </w:p>
    <w:p>
      <w:pPr>
        <w:pStyle w:val="ListParagraph"/>
        <w:numPr>
          <w:ilvl w:val="0"/>
          <w:numId w:val="2"/>
        </w:numPr>
        <w:spacing w:after="60" w:before="60"/>
      </w:pPr>
      <w:r>
        <w:rPr>
          <w:rFonts w:ascii="Arial" w:cs="Arial" w:eastAsia="Arial" w:hAnsi="Arial"/>
          <w:b/>
          <w:bCs/>
          <w:color w:val="1A1A1A"/>
          <w:sz w:val="22"/>
          <w:szCs w:val="22"/>
        </w:rPr>
        <w:t xml:space="preserve">engagement_tier — text, NOT NULL, DEFAULT 'professional' (consumer | professional | enterprise | strategic)</w:t>
      </w:r>
    </w:p>
    <w:p>
      <w:pPr>
        <w:pStyle w:val="ListParagraph"/>
        <w:numPr>
          <w:ilvl w:val="0"/>
          <w:numId w:val="2"/>
        </w:numPr>
        <w:spacing w:after="60" w:before="60"/>
      </w:pPr>
      <w:r>
        <w:rPr>
          <w:rFonts w:ascii="Arial" w:cs="Arial" w:eastAsia="Arial" w:hAnsi="Arial"/>
          <w:b w:val="false"/>
          <w:bCs w:val="false"/>
          <w:color w:val="1A1A1A"/>
          <w:sz w:val="22"/>
          <w:szCs w:val="22"/>
        </w:rPr>
        <w:t xml:space="preserve">platform_fee_bps — integer, NOT NULL, DEFAULT 1500. Fee in basis points.</w:t>
      </w:r>
    </w:p>
    <w:p>
      <w:pPr>
        <w:pStyle w:val="ListParagraph"/>
        <w:numPr>
          <w:ilvl w:val="0"/>
          <w:numId w:val="2"/>
        </w:numPr>
        <w:spacing w:after="60" w:before="60"/>
      </w:pPr>
      <w:r>
        <w:rPr>
          <w:rFonts w:ascii="Arial" w:cs="Arial" w:eastAsia="Arial" w:hAnsi="Arial"/>
          <w:b w:val="false"/>
          <w:bCs w:val="false"/>
          <w:color w:val="1A1A1A"/>
          <w:sz w:val="22"/>
          <w:szCs w:val="22"/>
        </w:rPr>
        <w:t xml:space="preserve">sla_hours — integer, nullable. Allowed: 24, 48, 72, 168. Enterprise requesters only.</w:t>
      </w:r>
    </w:p>
    <w:p>
      <w:pPr>
        <w:pStyle w:val="ListParagraph"/>
        <w:numPr>
          <w:ilvl w:val="0"/>
          <w:numId w:val="2"/>
        </w:numPr>
        <w:spacing w:after="60" w:before="60"/>
      </w:pPr>
      <w:r>
        <w:rPr>
          <w:rFonts w:ascii="Arial" w:cs="Arial" w:eastAsia="Arial" w:hAnsi="Arial"/>
          <w:b w:val="false"/>
          <w:bCs w:val="false"/>
          <w:color w:val="1A1A1A"/>
          <w:sz w:val="22"/>
          <w:szCs w:val="22"/>
        </w:rPr>
        <w:t xml:space="preserve">acquisition_source — text, nullable. Reserved for partner-sourced jobs (e.g. 'national_alliance').</w:t>
      </w:r>
    </w:p>
    <w:p>
      <w:pPr>
        <w:pStyle w:val="ListParagraph"/>
        <w:numPr>
          <w:ilvl w:val="0"/>
          <w:numId w:val="2"/>
        </w:numPr>
        <w:spacing w:after="60" w:before="60"/>
      </w:pPr>
      <w:r>
        <w:rPr>
          <w:rFonts w:ascii="Arial" w:cs="Arial" w:eastAsia="Arial" w:hAnsi="Arial"/>
          <w:b w:val="false"/>
          <w:bCs w:val="false"/>
          <w:color w:val="1A1A1A"/>
          <w:sz w:val="22"/>
          <w:szCs w:val="22"/>
        </w:rPr>
        <w:t xml:space="preserve">find_bounty_cents — integer, nullable. Per-confirmed-find bounty for portfolio audit swarm jobs.</w:t>
      </w:r>
    </w:p>
    <w:p>
      <w:pPr>
        <w:pStyle w:val="ListParagraph"/>
        <w:numPr>
          <w:ilvl w:val="0"/>
          <w:numId w:val="2"/>
        </w:numPr>
        <w:spacing w:after="60" w:before="60"/>
      </w:pPr>
      <w:r>
        <w:rPr>
          <w:rFonts w:ascii="Arial" w:cs="Arial" w:eastAsia="Arial" w:hAnsi="Arial"/>
          <w:b w:val="false"/>
          <w:bCs w:val="false"/>
          <w:color w:val="1A1A1A"/>
          <w:sz w:val="22"/>
          <w:szCs w:val="22"/>
        </w:rPr>
        <w:t xml:space="preserve">milestones — JSONB, nullable. Array of {label, amount_cents, status} objects.</w:t>
      </w:r>
    </w:p>
    <w:p>
      <w:pPr>
        <w:spacing w:after="80" w:before="0"/>
      </w:pPr>
    </w:p>
    <w:p>
      <w:pPr>
        <w:spacing w:after="160" w:before="0"/>
      </w:pPr>
      <w:r>
        <w:rPr>
          <w:rFonts w:ascii="Arial" w:cs="Arial" w:eastAsia="Arial" w:hAnsi="Arial"/>
          <w:color w:val="1A1A1A"/>
          <w:sz w:val="22"/>
          <w:szCs w:val="22"/>
        </w:rPr>
        <w:t xml:space="preserve">A new revenue_events table was also created:</w:t>
      </w:r>
    </w:p>
    <w:p>
      <w:pPr>
        <w:spacing w:after="40" w:before="0"/>
      </w:pPr>
    </w:p>
    <w:p>
      <w:pPr>
        <w:pStyle w:val="ListParagraph"/>
        <w:numPr>
          <w:ilvl w:val="0"/>
          <w:numId w:val="2"/>
        </w:numPr>
        <w:spacing w:after="60" w:before="60"/>
      </w:pPr>
      <w:r>
        <w:rPr>
          <w:rFonts w:ascii="Arial" w:cs="Arial" w:eastAsia="Arial" w:hAnsi="Arial"/>
          <w:b w:val="false"/>
          <w:bCs w:val="false"/>
          <w:color w:val="1A1A1A"/>
          <w:sz w:val="22"/>
          <w:szCs w:val="22"/>
        </w:rPr>
        <w:t xml:space="preserve">id, created_at, job_id (FK → jobs)</w:t>
      </w:r>
    </w:p>
    <w:p>
      <w:pPr>
        <w:pStyle w:val="ListParagraph"/>
        <w:numPr>
          <w:ilvl w:val="0"/>
          <w:numId w:val="2"/>
        </w:numPr>
        <w:spacing w:after="60" w:before="60"/>
      </w:pPr>
      <w:r>
        <w:rPr>
          <w:rFonts w:ascii="Arial" w:cs="Arial" w:eastAsia="Arial" w:hAnsi="Arial"/>
          <w:b w:val="false"/>
          <w:bCs w:val="false"/>
          <w:color w:val="1A1A1A"/>
          <w:sz w:val="22"/>
          <w:szCs w:val="22"/>
        </w:rPr>
        <w:t xml:space="preserve">event_type — CHECK (job_posted | work_accepted | milestone_released | bounty_paid | platform_fee_collected)</w:t>
      </w:r>
    </w:p>
    <w:p>
      <w:pPr>
        <w:pStyle w:val="ListParagraph"/>
        <w:numPr>
          <w:ilvl w:val="0"/>
          <w:numId w:val="2"/>
        </w:numPr>
        <w:spacing w:after="60" w:before="60"/>
      </w:pPr>
      <w:r>
        <w:rPr>
          <w:rFonts w:ascii="Arial" w:cs="Arial" w:eastAsia="Arial" w:hAnsi="Arial"/>
          <w:b w:val="false"/>
          <w:bCs w:val="false"/>
          <w:color w:val="1A1A1A"/>
          <w:sz w:val="22"/>
          <w:szCs w:val="22"/>
        </w:rPr>
        <w:t xml:space="preserve">engagement_tier, gross_amount_cents, platform_fee_cents, platform_fee_bps, acquisition_source, requester_type, notes</w:t>
      </w:r>
    </w:p>
    <w:p>
      <w:pPr>
        <w:spacing w:after="40" w:before="0"/>
      </w:pPr>
    </w:p>
    <w:p>
      <w:pPr>
        <w:spacing w:after="160" w:before="0"/>
      </w:pPr>
      <w:r>
        <w:rPr>
          <w:rFonts w:ascii="Arial" w:cs="Arial" w:eastAsia="Arial" w:hAnsi="Arial"/>
          <w:color w:val="1A1A1A"/>
          <w:sz w:val="22"/>
          <w:szCs w:val="22"/>
        </w:rPr>
        <w:t xml:space="preserve">RLS is enabled with a no_public_access policy. This table is the foundation for the platform revenue analytics dashboard.</w:t>
      </w:r>
    </w:p>
    <w:p>
      <w:pPr>
        <w:pStyle w:val="Heading1"/>
        <w:spacing w:after="120" w:before="400"/>
      </w:pPr>
      <w:r>
        <w:rPr>
          <w:rFonts w:ascii="Arial" w:cs="Arial" w:eastAsia="Arial" w:hAnsi="Arial"/>
          <w:b/>
          <w:bCs/>
          <w:color w:val="6B4226"/>
          <w:sz w:val="28"/>
          <w:szCs w:val="28"/>
        </w:rPr>
        <w:t xml:space="preserve">3.  New Budget Models</w:t>
      </w:r>
    </w:p>
    <w:p>
      <w:pPr>
        <w:spacing w:after="160" w:before="0"/>
      </w:pPr>
      <w:r>
        <w:rPr>
          <w:rFonts w:ascii="Arial" w:cs="Arial" w:eastAsia="Arial" w:hAnsi="Arial"/>
          <w:color w:val="1A1A1A"/>
          <w:sz w:val="22"/>
          <w:szCs w:val="22"/>
        </w:rPr>
        <w:t xml:space="preserve">The platform now supports five budget types, up from the original three. The two new models cover the full spectrum from high-volume microtask work to high-value program design.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8B6040" w:sz="1"/>
              <w:left w:val="single" w:color="8B6040" w:sz="1"/>
              <w:bottom w:val="single" w:color="8B6040" w:sz="1"/>
              <w:right w:val="single" w:color="8B6040" w:sz="1"/>
            </w:tcBorders>
            <w:shd w:fill="6B4226" w:val="clear"/>
            <w:tcMar>
              <w:top w:type="dxa" w:w="80"/>
              <w:left w:type="dxa" w:w="110"/>
              <w:bottom w:type="dxa" w:w="80"/>
              <w:right w:type="dxa" w:w="110"/>
            </w:tcMar>
          </w:tcPr>
          <w:p>
            <w:r>
              <w:rPr>
                <w:rFonts w:ascii="Arial" w:cs="Arial" w:eastAsia="Arial" w:hAnsi="Arial"/>
                <w:b/>
                <w:bCs/>
                <w:color w:val="FFFFFF"/>
                <w:sz w:val="20"/>
                <w:szCs w:val="20"/>
              </w:rPr>
              <w:t xml:space="preserve">Model</w:t>
            </w:r>
          </w:p>
        </w:tc>
        <w:tc>
          <w:tcPr>
            <w:tcW w:type="dxa" w:w="2520"/>
            <w:tcBorders>
              <w:top w:val="single" w:color="8B6040" w:sz="1"/>
              <w:left w:val="single" w:color="8B6040" w:sz="1"/>
              <w:bottom w:val="single" w:color="8B6040" w:sz="1"/>
              <w:right w:val="single" w:color="8B6040" w:sz="1"/>
            </w:tcBorders>
            <w:shd w:fill="6B4226" w:val="clear"/>
            <w:tcMar>
              <w:top w:type="dxa" w:w="80"/>
              <w:left w:type="dxa" w:w="110"/>
              <w:bottom w:type="dxa" w:w="80"/>
              <w:right w:type="dxa" w:w="110"/>
            </w:tcMar>
          </w:tcPr>
          <w:p>
            <w:r>
              <w:rPr>
                <w:rFonts w:ascii="Arial" w:cs="Arial" w:eastAsia="Arial" w:hAnsi="Arial"/>
                <w:b/>
                <w:bCs/>
                <w:color w:val="FFFFFF"/>
                <w:sz w:val="20"/>
                <w:szCs w:val="20"/>
              </w:rPr>
              <w:t xml:space="preserve">Best for</w:t>
            </w:r>
          </w:p>
        </w:tc>
        <w:tc>
          <w:tcPr>
            <w:tcW w:type="dxa" w:w="2520"/>
            <w:tcBorders>
              <w:top w:val="single" w:color="8B6040" w:sz="1"/>
              <w:left w:val="single" w:color="8B6040" w:sz="1"/>
              <w:bottom w:val="single" w:color="8B6040" w:sz="1"/>
              <w:right w:val="single" w:color="8B6040" w:sz="1"/>
            </w:tcBorders>
            <w:shd w:fill="6B4226" w:val="clear"/>
            <w:tcMar>
              <w:top w:type="dxa" w:w="80"/>
              <w:left w:type="dxa" w:w="110"/>
              <w:bottom w:type="dxa" w:w="80"/>
              <w:right w:type="dxa" w:w="110"/>
            </w:tcMar>
          </w:tcPr>
          <w:p>
            <w:r>
              <w:rPr>
                <w:rFonts w:ascii="Arial" w:cs="Arial" w:eastAsia="Arial" w:hAnsi="Arial"/>
                <w:b/>
                <w:bCs/>
                <w:color w:val="FFFFFF"/>
                <w:sz w:val="20"/>
                <w:szCs w:val="20"/>
              </w:rPr>
              <w:t xml:space="preserve">Stored as</w:t>
            </w:r>
          </w:p>
        </w:tc>
        <w:tc>
          <w:tcPr>
            <w:tcW w:type="dxa" w:w="2520"/>
            <w:tcBorders>
              <w:top w:val="single" w:color="8B6040" w:sz="1"/>
              <w:left w:val="single" w:color="8B6040" w:sz="1"/>
              <w:bottom w:val="single" w:color="8B6040" w:sz="1"/>
              <w:right w:val="single" w:color="8B6040" w:sz="1"/>
            </w:tcBorders>
            <w:shd w:fill="6B4226" w:val="clear"/>
            <w:tcMar>
              <w:top w:type="dxa" w:w="80"/>
              <w:left w:type="dxa" w:w="110"/>
              <w:bottom w:type="dxa" w:w="80"/>
              <w:right w:type="dxa" w:w="110"/>
            </w:tcMar>
          </w:tcPr>
          <w:p>
            <w:r>
              <w:rPr>
                <w:rFonts w:ascii="Arial" w:cs="Arial" w:eastAsia="Arial" w:hAnsi="Arial"/>
                <w:b/>
                <w:bCs/>
                <w:color w:val="FFFFFF"/>
                <w:sz w:val="20"/>
                <w:szCs w:val="20"/>
              </w:rPr>
              <w:t xml:space="preserve">Platform cut</w:t>
            </w:r>
          </w:p>
        </w:tc>
      </w:tr>
      <w:tr>
        <w:tc>
          <w:tcPr>
            <w:tcW w:type="dxa" w:w="180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Flat fee</w:t>
            </w:r>
          </w:p>
        </w:tc>
        <w:tc>
          <w:tcPr>
            <w:tcW w:type="dxa" w:w="252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Advisory reviews, audits</w:t>
            </w:r>
          </w:p>
        </w:tc>
        <w:tc>
          <w:tcPr>
            <w:tcW w:type="dxa" w:w="252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budget_cents</w:t>
            </w:r>
          </w:p>
        </w:tc>
        <w:tc>
          <w:tcPr>
            <w:tcW w:type="dxa" w:w="252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On payout</w:t>
            </w:r>
          </w:p>
        </w:tc>
      </w:tr>
      <w:tr>
        <w:tc>
          <w:tcPr>
            <w:tcW w:type="dxa" w:w="180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Hourly</w:t>
            </w:r>
          </w:p>
        </w:tc>
        <w:tc>
          <w:tcPr>
            <w:tcW w:type="dxa" w:w="252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Open-ended consults</w:t>
            </w:r>
          </w:p>
        </w:tc>
        <w:tc>
          <w:tcPr>
            <w:tcW w:type="dxa" w:w="252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budget_cents (cap)</w:t>
            </w:r>
          </w:p>
        </w:tc>
        <w:tc>
          <w:tcPr>
            <w:tcW w:type="dxa" w:w="252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On payout</w:t>
            </w:r>
          </w:p>
        </w:tc>
      </w:tr>
      <w:tr>
        <w:tc>
          <w:tcPr>
            <w:tcW w:type="dxa" w:w="180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Per-find bounty</w:t>
            </w:r>
          </w:p>
        </w:tc>
        <w:tc>
          <w:tcPr>
            <w:tcW w:type="dxa" w:w="252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Portfolio audit swarms</w:t>
            </w:r>
          </w:p>
        </w:tc>
        <w:tc>
          <w:tcPr>
            <w:tcW w:type="dxa" w:w="252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find_bounty_cents + pool cap</w:t>
            </w:r>
          </w:p>
        </w:tc>
        <w:tc>
          <w:tcPr>
            <w:tcW w:type="dxa" w:w="252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Per bounty payout</w:t>
            </w:r>
          </w:p>
        </w:tc>
      </w:tr>
      <w:tr>
        <w:tc>
          <w:tcPr>
            <w:tcW w:type="dxa" w:w="180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Milestone</w:t>
            </w:r>
          </w:p>
        </w:tc>
        <w:tc>
          <w:tcPr>
            <w:tcW w:type="dxa" w:w="252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Program design, high-value</w:t>
            </w:r>
          </w:p>
        </w:tc>
        <w:tc>
          <w:tcPr>
            <w:tcW w:type="dxa" w:w="252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milestones JSONB [{label, amount_cents, status}]</w:t>
            </w:r>
          </w:p>
        </w:tc>
        <w:tc>
          <w:tcPr>
            <w:tcW w:type="dxa" w:w="2520"/>
            <w:tcBorders>
              <w:top w:val="single" w:color="D5C9BE" w:sz="1"/>
              <w:left w:val="single" w:color="D5C9BE" w:sz="1"/>
              <w:bottom w:val="single" w:color="D5C9BE" w:sz="1"/>
              <w:right w:val="single" w:color="D5C9BE" w:sz="1"/>
            </w:tcBorders>
            <w:shd w:fill="F0EBE5" w:val="clear"/>
            <w:tcMar>
              <w:top w:type="dxa" w:w="80"/>
              <w:left w:type="dxa" w:w="110"/>
              <w:bottom w:type="dxa" w:w="80"/>
              <w:right w:type="dxa" w:w="110"/>
            </w:tcMar>
          </w:tcPr>
          <w:p>
            <w:r>
              <w:rPr>
                <w:rFonts w:ascii="Arial" w:cs="Arial" w:eastAsia="Arial" w:hAnsi="Arial"/>
                <w:b w:val="false"/>
                <w:bCs w:val="false"/>
                <w:color w:val="1A1A1A"/>
                <w:sz w:val="20"/>
                <w:szCs w:val="20"/>
              </w:rPr>
              <w:t xml:space="preserve">Per milestone release</w:t>
            </w:r>
          </w:p>
        </w:tc>
      </w:tr>
      <w:tr>
        <w:tc>
          <w:tcPr>
            <w:tcW w:type="dxa" w:w="180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Volunteer</w:t>
            </w:r>
          </w:p>
        </w:tc>
        <w:tc>
          <w:tcPr>
            <w:tcW w:type="dxa" w:w="252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Portfolio / community work</w:t>
            </w:r>
          </w:p>
        </w:tc>
        <w:tc>
          <w:tcPr>
            <w:tcW w:type="dxa" w:w="252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0 cents</w:t>
            </w:r>
          </w:p>
        </w:tc>
        <w:tc>
          <w:tcPr>
            <w:tcW w:type="dxa" w:w="2520"/>
            <w:tcBorders>
              <w:top w:val="single" w:color="D5C9BE" w:sz="1"/>
              <w:left w:val="single" w:color="D5C9BE" w:sz="1"/>
              <w:bottom w:val="single" w:color="D5C9BE" w:sz="1"/>
              <w:right w:val="single" w:color="D5C9BE" w:sz="1"/>
            </w:tcBorders>
            <w:shd w:fill="FFFFFF" w:val="clear"/>
            <w:tcMar>
              <w:top w:type="dxa" w:w="80"/>
              <w:left w:type="dxa" w:w="110"/>
              <w:bottom w:type="dxa" w:w="80"/>
              <w:right w:type="dxa" w:w="110"/>
            </w:tcMar>
          </w:tcPr>
          <w:p>
            <w:r>
              <w:rPr>
                <w:rFonts w:ascii="Arial" w:cs="Arial" w:eastAsia="Arial" w:hAnsi="Arial"/>
                <w:b w:val="false"/>
                <w:bCs w:val="false"/>
                <w:color w:val="1A1A1A"/>
                <w:sz w:val="20"/>
                <w:szCs w:val="20"/>
              </w:rPr>
              <w:t xml:space="preserve">None</w:t>
            </w:r>
          </w:p>
        </w:tc>
      </w:tr>
    </w:tbl>
    <w:p>
      <w:pPr>
        <w:spacing w:after="160" w:before="0"/>
      </w:pPr>
    </w:p>
    <w:p>
      <w:pPr>
        <w:pStyle w:val="Heading2"/>
        <w:spacing w:after="80" w:before="280"/>
      </w:pPr>
      <w:r>
        <w:rPr>
          <w:rFonts w:ascii="Arial" w:cs="Arial" w:eastAsia="Arial" w:hAnsi="Arial"/>
          <w:b/>
          <w:bCs/>
          <w:color w:val="1A1A1A"/>
          <w:sz w:val="24"/>
          <w:szCs w:val="24"/>
        </w:rPr>
        <w:t xml:space="preserve">3a.  Per-Find Bounty (Portfolio Audit Swarms)</w:t>
      </w:r>
    </w:p>
    <w:p>
      <w:pPr>
        <w:spacing w:after="160" w:before="0"/>
      </w:pPr>
      <w:r>
        <w:rPr>
          <w:rFonts w:ascii="Arial" w:cs="Arial" w:eastAsia="Arial" w:hAnsi="Arial"/>
          <w:color w:val="1A1A1A"/>
          <w:sz w:val="22"/>
          <w:szCs w:val="22"/>
        </w:rPr>
        <w:t xml:space="preserve">Designed for large-scale portfolio audits where carriers or MGAs want many underwriters reviewing many submissions simultaneously. A new portfolio_audit job type was added — available only to carrier, MGA, and reinsurer requesters.</w:t>
      </w:r>
    </w:p>
    <w:p>
      <w:pPr>
        <w:pStyle w:val="ListParagraph"/>
        <w:numPr>
          <w:ilvl w:val="0"/>
          <w:numId w:val="2"/>
        </w:numPr>
        <w:spacing w:after="60" w:before="60"/>
      </w:pPr>
      <w:r>
        <w:rPr>
          <w:rFonts w:ascii="Arial" w:cs="Arial" w:eastAsia="Arial" w:hAnsi="Arial"/>
          <w:b w:val="false"/>
          <w:bCs w:val="false"/>
          <w:color w:val="1A1A1A"/>
          <w:sz w:val="22"/>
          <w:szCs w:val="22"/>
        </w:rPr>
        <w:t xml:space="preserve">Requester sets a bounty per confirmed find ($1–$500 range)</w:t>
      </w:r>
    </w:p>
    <w:p>
      <w:pPr>
        <w:pStyle w:val="ListParagraph"/>
        <w:numPr>
          <w:ilvl w:val="0"/>
          <w:numId w:val="2"/>
        </w:numPr>
        <w:spacing w:after="60" w:before="60"/>
      </w:pPr>
      <w:r>
        <w:rPr>
          <w:rFonts w:ascii="Arial" w:cs="Arial" w:eastAsia="Arial" w:hAnsi="Arial"/>
          <w:b w:val="false"/>
          <w:bCs w:val="false"/>
          <w:color w:val="1A1A1A"/>
          <w:sz w:val="22"/>
          <w:szCs w:val="22"/>
        </w:rPr>
        <w:t xml:space="preserve">Optional total pool cap limits overall exposure</w:t>
      </w:r>
    </w:p>
    <w:p>
      <w:pPr>
        <w:pStyle w:val="ListParagraph"/>
        <w:numPr>
          <w:ilvl w:val="0"/>
          <w:numId w:val="2"/>
        </w:numPr>
        <w:spacing w:after="60" w:before="60"/>
      </w:pPr>
      <w:r>
        <w:rPr>
          <w:rFonts w:ascii="Arial" w:cs="Arial" w:eastAsia="Arial" w:hAnsi="Arial"/>
          <w:b w:val="false"/>
          <w:bCs w:val="false"/>
          <w:color w:val="1A1A1A"/>
          <w:sz w:val="22"/>
          <w:szCs w:val="22"/>
        </w:rPr>
        <w:t xml:space="preserve">Gamification mechanics: leaderboard, streak bonuses, speed multipliers (revenue model doc)</w:t>
      </w:r>
    </w:p>
    <w:p>
      <w:pPr>
        <w:pStyle w:val="ListParagraph"/>
        <w:numPr>
          <w:ilvl w:val="0"/>
          <w:numId w:val="2"/>
        </w:numPr>
        <w:spacing w:after="60" w:before="60"/>
      </w:pPr>
      <w:r>
        <w:rPr>
          <w:rFonts w:ascii="Arial" w:cs="Arial" w:eastAsia="Arial" w:hAnsi="Arial"/>
          <w:b w:val="false"/>
          <w:bCs w:val="false"/>
          <w:color w:val="1A1A1A"/>
          <w:sz w:val="22"/>
          <w:szCs w:val="22"/>
        </w:rPr>
        <w:t xml:space="preserve">Platform fee applies per bounty payout, not as a lump upfront commitment</w:t>
      </w:r>
    </w:p>
    <w:p>
      <w:pPr>
        <w:pStyle w:val="ListParagraph"/>
        <w:numPr>
          <w:ilvl w:val="0"/>
          <w:numId w:val="2"/>
        </w:numPr>
        <w:spacing w:after="60" w:before="60"/>
      </w:pPr>
      <w:r>
        <w:rPr>
          <w:rFonts w:ascii="Arial" w:cs="Arial" w:eastAsia="Arial" w:hAnsi="Arial"/>
          <w:b w:val="false"/>
          <w:bCs w:val="false"/>
          <w:color w:val="1A1A1A"/>
          <w:sz w:val="22"/>
          <w:szCs w:val="22"/>
        </w:rPr>
        <w:t xml:space="preserve">find_bounty_cents stored on job row; budget_cents used for the optional pool cap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32A" w:sz="8"/>
              <w:left w:val="single" w:color="E8C87A" w:sz="1"/>
              <w:bottom w:val="single" w:color="E8C87A" w:sz="1"/>
              <w:right w:val="single" w:color="E8C87A" w:sz="1"/>
            </w:tcBorders>
            <w:shd w:fill="F0F7FF" w:val="clear"/>
            <w:tcMar>
              <w:top w:type="dxa" w:w="120"/>
              <w:left w:type="dxa" w:w="180"/>
              <w:bottom w:type="dxa" w:w="120"/>
              <w:right w:type="dxa" w:w="180"/>
            </w:tcMar>
          </w:tcPr>
          <w:p>
            <w:r>
              <w:rPr>
                <w:rFonts w:ascii="Arial" w:cs="Arial" w:eastAsia="Arial" w:hAnsi="Arial"/>
                <w:color w:val="1A1A1A"/>
                <w:sz w:val="22"/>
                <w:szCs w:val="22"/>
              </w:rPr>
              <w:t xml:space="preserve">Economics example: A carrier with 1,000 submissions at $8/find and a $2,000 pool cap gets up to 250 confirmed findings — well within the economics of traditional audit costs at a fraction of the time.</w:t>
            </w:r>
          </w:p>
        </w:tc>
      </w:tr>
    </w:tbl>
    <w:p>
      <w:pPr>
        <w:spacing w:after="120" w:before="0"/>
      </w:pPr>
    </w:p>
    <w:p>
      <w:pPr>
        <w:pStyle w:val="Heading2"/>
        <w:spacing w:after="80" w:before="280"/>
      </w:pPr>
      <w:r>
        <w:rPr>
          <w:rFonts w:ascii="Arial" w:cs="Arial" w:eastAsia="Arial" w:hAnsi="Arial"/>
          <w:b/>
          <w:bCs/>
          <w:color w:val="1A1A1A"/>
          <w:sz w:val="24"/>
          <w:szCs w:val="24"/>
        </w:rPr>
        <w:t xml:space="preserve">3b.  Milestone Billing (High-Value Program Design)</w:t>
      </w:r>
    </w:p>
    <w:p>
      <w:pPr>
        <w:spacing w:after="160" w:before="0"/>
      </w:pPr>
      <w:r>
        <w:rPr>
          <w:rFonts w:ascii="Arial" w:cs="Arial" w:eastAsia="Arial" w:hAnsi="Arial"/>
          <w:color w:val="1A1A1A"/>
          <w:sz w:val="22"/>
          <w:szCs w:val="22"/>
        </w:rPr>
        <w:t xml:space="preserve">Top-end engagements — program design and complex advisory work that can justify rates comparable to specialized consulting. No rate cap. Requesters define up to five payment gates.</w:t>
      </w:r>
    </w:p>
    <w:p>
      <w:pPr>
        <w:pStyle w:val="ListParagraph"/>
        <w:numPr>
          <w:ilvl w:val="0"/>
          <w:numId w:val="2"/>
        </w:numPr>
        <w:spacing w:after="60" w:before="60"/>
      </w:pPr>
      <w:r>
        <w:rPr>
          <w:rFonts w:ascii="Arial" w:cs="Arial" w:eastAsia="Arial" w:hAnsi="Arial"/>
          <w:b w:val="false"/>
          <w:bCs w:val="false"/>
          <w:color w:val="1A1A1A"/>
          <w:sz w:val="22"/>
          <w:szCs w:val="22"/>
        </w:rPr>
        <w:t xml:space="preserve">Up to 5 milestones per engagement, each with a label and dollar amount</w:t>
      </w:r>
    </w:p>
    <w:p>
      <w:pPr>
        <w:pStyle w:val="ListParagraph"/>
        <w:numPr>
          <w:ilvl w:val="0"/>
          <w:numId w:val="2"/>
        </w:numPr>
        <w:spacing w:after="60" w:before="60"/>
      </w:pPr>
      <w:r>
        <w:rPr>
          <w:rFonts w:ascii="Arial" w:cs="Arial" w:eastAsia="Arial" w:hAnsi="Arial"/>
          <w:b w:val="false"/>
          <w:bCs w:val="false"/>
          <w:color w:val="1A1A1A"/>
          <w:sz w:val="22"/>
          <w:szCs w:val="22"/>
        </w:rPr>
        <w:t xml:space="preserve">Persisted as JSONB array [{label, amount_cents, status: 'pending'}]</w:t>
      </w:r>
    </w:p>
    <w:p>
      <w:pPr>
        <w:pStyle w:val="ListParagraph"/>
        <w:numPr>
          <w:ilvl w:val="0"/>
          <w:numId w:val="2"/>
        </w:numPr>
        <w:spacing w:after="60" w:before="60"/>
      </w:pPr>
      <w:r>
        <w:rPr>
          <w:rFonts w:ascii="Arial" w:cs="Arial" w:eastAsia="Arial" w:hAnsi="Arial"/>
          <w:b w:val="false"/>
          <w:bCs w:val="false"/>
          <w:color w:val="1A1A1A"/>
          <w:sz w:val="22"/>
          <w:szCs w:val="22"/>
        </w:rPr>
        <w:t xml:space="preserve">Total displayed as a running sum in the post-job form</w:t>
      </w:r>
    </w:p>
    <w:p>
      <w:pPr>
        <w:pStyle w:val="ListParagraph"/>
        <w:numPr>
          <w:ilvl w:val="0"/>
          <w:numId w:val="2"/>
        </w:numPr>
        <w:spacing w:after="60" w:before="60"/>
      </w:pPr>
      <w:r>
        <w:rPr>
          <w:rFonts w:ascii="Arial" w:cs="Arial" w:eastAsia="Arial" w:hAnsi="Arial"/>
          <w:b w:val="false"/>
          <w:bCs w:val="false"/>
          <w:color w:val="1A1A1A"/>
          <w:sz w:val="22"/>
          <w:szCs w:val="22"/>
        </w:rPr>
        <w:t xml:space="preserve">Platform fee deducted at each milestone release, not upfront</w:t>
      </w:r>
    </w:p>
    <w:p>
      <w:pPr>
        <w:pStyle w:val="ListParagraph"/>
        <w:numPr>
          <w:ilvl w:val="0"/>
          <w:numId w:val="2"/>
        </w:numPr>
        <w:spacing w:after="60" w:before="60"/>
      </w:pPr>
      <w:r>
        <w:rPr>
          <w:rFonts w:ascii="Arial" w:cs="Arial" w:eastAsia="Arial" w:hAnsi="Arial"/>
          <w:b w:val="false"/>
          <w:bCs w:val="false"/>
          <w:color w:val="1A1A1A"/>
          <w:sz w:val="22"/>
          <w:szCs w:val="22"/>
        </w:rPr>
        <w:t xml:space="preserve">E&amp;O trigger recommended at this level — future enforcement, not a current blocker</w:t>
      </w:r>
    </w:p>
    <w:p>
      <w:pPr>
        <w:pStyle w:val="Heading1"/>
        <w:spacing w:after="120" w:before="400"/>
      </w:pPr>
      <w:r>
        <w:rPr>
          <w:rFonts w:ascii="Arial" w:cs="Arial" w:eastAsia="Arial" w:hAnsi="Arial"/>
          <w:b/>
          <w:bCs/>
          <w:color w:val="6B4226"/>
          <w:sz w:val="28"/>
          <w:szCs w:val="28"/>
        </w:rPr>
        <w:t xml:space="preserve">4.  Post-Job Form Enhancements</w:t>
      </w:r>
    </w:p>
    <w:p>
      <w:pPr>
        <w:pStyle w:val="Heading2"/>
        <w:spacing w:after="80" w:before="280"/>
      </w:pPr>
      <w:r>
        <w:rPr>
          <w:rFonts w:ascii="Arial" w:cs="Arial" w:eastAsia="Arial" w:hAnsi="Arial"/>
          <w:b/>
          <w:bCs/>
          <w:color w:val="1A1A1A"/>
          <w:sz w:val="24"/>
          <w:szCs w:val="24"/>
        </w:rPr>
        <w:t xml:space="preserve">Tier Badge</w:t>
      </w:r>
    </w:p>
    <w:p>
      <w:pPr>
        <w:spacing w:after="160" w:before="0"/>
      </w:pPr>
      <w:r>
        <w:rPr>
          <w:rFonts w:ascii="Arial" w:cs="Arial" w:eastAsia="Arial" w:hAnsi="Arial"/>
          <w:color w:val="1A1A1A"/>
          <w:sz w:val="22"/>
          <w:szCs w:val="22"/>
        </w:rPr>
        <w:t xml:space="preserve">A color-coded badge appears below the requester type selector showing the tier and platform fee in real time. Updates automatically on requester change.</w:t>
      </w:r>
    </w:p>
    <w:p>
      <w:pPr>
        <w:pStyle w:val="Heading2"/>
        <w:spacing w:after="80" w:before="280"/>
      </w:pPr>
      <w:r>
        <w:rPr>
          <w:rFonts w:ascii="Arial" w:cs="Arial" w:eastAsia="Arial" w:hAnsi="Arial"/>
          <w:b/>
          <w:bCs/>
          <w:color w:val="1A1A1A"/>
          <w:sz w:val="24"/>
          <w:szCs w:val="24"/>
        </w:rPr>
        <w:t xml:space="preserve">SLA Selector</w:t>
      </w:r>
    </w:p>
    <w:p>
      <w:pPr>
        <w:spacing w:after="160" w:before="0"/>
      </w:pPr>
      <w:r>
        <w:rPr>
          <w:rFonts w:ascii="Arial" w:cs="Arial" w:eastAsia="Arial" w:hAnsi="Arial"/>
          <w:color w:val="1A1A1A"/>
          <w:sz w:val="22"/>
          <w:szCs w:val="22"/>
        </w:rPr>
        <w:t xml:space="preserve">Enterprise requesters (carrier, MGA, reinsurer) see a turnaround commitment dropdown: 24-hour, 48-hour, 72-hour, 7-day, or best-effort. Stored in sla_hours.</w:t>
      </w:r>
    </w:p>
    <w:p>
      <w:pPr>
        <w:pStyle w:val="Heading2"/>
        <w:spacing w:after="80" w:before="280"/>
      </w:pPr>
      <w:r>
        <w:rPr>
          <w:rFonts w:ascii="Arial" w:cs="Arial" w:eastAsia="Arial" w:hAnsi="Arial"/>
          <w:b/>
          <w:bCs/>
          <w:color w:val="1A1A1A"/>
          <w:sz w:val="24"/>
          <w:szCs w:val="24"/>
        </w:rPr>
        <w:t xml:space="preserve">Per-Find Bounty UI</w:t>
      </w:r>
    </w:p>
    <w:p>
      <w:pPr>
        <w:spacing w:after="160" w:before="0"/>
      </w:pPr>
      <w:r>
        <w:rPr>
          <w:rFonts w:ascii="Arial" w:cs="Arial" w:eastAsia="Arial" w:hAnsi="Arial"/>
          <w:color w:val="1A1A1A"/>
          <w:sz w:val="22"/>
          <w:szCs w:val="22"/>
        </w:rPr>
        <w:t xml:space="preserve">When budget type = per_find, an amber-tinted card appears with a bounty-per-find input ($1–$500), an optional total pool cap input, and a live platform fee reminder.</w:t>
      </w:r>
    </w:p>
    <w:p>
      <w:pPr>
        <w:pStyle w:val="Heading2"/>
        <w:spacing w:after="80" w:before="280"/>
      </w:pPr>
      <w:r>
        <w:rPr>
          <w:rFonts w:ascii="Arial" w:cs="Arial" w:eastAsia="Arial" w:hAnsi="Arial"/>
          <w:b/>
          <w:bCs/>
          <w:color w:val="1A1A1A"/>
          <w:sz w:val="24"/>
          <w:szCs w:val="24"/>
        </w:rPr>
        <w:t xml:space="preserve">Milestone Builder UI</w:t>
      </w:r>
    </w:p>
    <w:p>
      <w:pPr>
        <w:spacing w:after="160" w:before="0"/>
      </w:pPr>
      <w:r>
        <w:rPr>
          <w:rFonts w:ascii="Arial" w:cs="Arial" w:eastAsia="Arial" w:hAnsi="Arial"/>
          <w:color w:val="1A1A1A"/>
          <w:sz w:val="22"/>
          <w:szCs w:val="22"/>
        </w:rPr>
        <w:t xml:space="preserve">When budget type = milestone, an indigo-tinted card appears with up to 5 label+amount rows, add/remove controls, a running total display, and automatic milestones_json serialization on submit. handleReset() clears all milestone state back to defaults.</w:t>
      </w:r>
    </w:p>
    <w:p>
      <w:pPr>
        <w:pStyle w:val="Heading2"/>
        <w:spacing w:after="80" w:before="280"/>
      </w:pPr>
      <w:r>
        <w:rPr>
          <w:rFonts w:ascii="Arial" w:cs="Arial" w:eastAsia="Arial" w:hAnsi="Arial"/>
          <w:b/>
          <w:bCs/>
          <w:color w:val="1A1A1A"/>
          <w:sz w:val="24"/>
          <w:szCs w:val="24"/>
        </w:rPr>
        <w:t xml:space="preserve">Job Type Labels</w:t>
      </w:r>
    </w:p>
    <w:p>
      <w:pPr>
        <w:spacing w:after="160" w:before="0"/>
      </w:pPr>
      <w:r>
        <w:rPr>
          <w:rFonts w:ascii="Arial" w:cs="Arial" w:eastAsia="Arial" w:hAnsi="Arial"/>
          <w:color w:val="1A1A1A"/>
          <w:sz w:val="22"/>
          <w:szCs w:val="22"/>
        </w:rPr>
        <w:t xml:space="preserve">Both the jobs board and the job detail page were updated with the portfolio_audit label and a complete set of all current job type labels.</w:t>
      </w:r>
    </w:p>
    <w:p>
      <w:pPr>
        <w:pStyle w:val="Heading1"/>
        <w:spacing w:after="120" w:before="400"/>
      </w:pPr>
      <w:r>
        <w:rPr>
          <w:rFonts w:ascii="Arial" w:cs="Arial" w:eastAsia="Arial" w:hAnsi="Arial"/>
          <w:b/>
          <w:bCs/>
          <w:color w:val="6B4226"/>
          <w:sz w:val="28"/>
          <w:szCs w:val="28"/>
        </w:rPr>
        <w:t xml:space="preserve">5.  /pricing Page</w:t>
      </w:r>
    </w:p>
    <w:p>
      <w:pPr>
        <w:spacing w:after="160" w:before="0"/>
      </w:pPr>
      <w:r>
        <w:rPr>
          <w:rFonts w:ascii="Arial" w:cs="Arial" w:eastAsia="Arial" w:hAnsi="Arial"/>
          <w:color w:val="1A1A1A"/>
          <w:sz w:val="22"/>
          <w:szCs w:val="22"/>
        </w:rPr>
        <w:t xml:space="preserve">A new /pricing route was built with four tier cards (Consumer, Professional, Enterprise, Strategic), a four-step 'How it works' flow, and a six-question FAQ. Pricing was added to the site footer alongside the previously added Why humans → and Trust &amp; accountability links.</w:t>
      </w:r>
    </w:p>
    <w:p>
      <w:pPr>
        <w:pStyle w:val="Heading1"/>
        <w:spacing w:after="120" w:before="400"/>
      </w:pPr>
      <w:r>
        <w:rPr>
          <w:rFonts w:ascii="Arial" w:cs="Arial" w:eastAsia="Arial" w:hAnsi="Arial"/>
          <w:b/>
          <w:bCs/>
          <w:color w:val="6B4226"/>
          <w:sz w:val="28"/>
          <w:szCs w:val="28"/>
        </w:rPr>
        <w:t xml:space="preserve">5a.  Why Humans → (Manifesto Page, /manifesto)</w:t>
      </w:r>
    </w:p>
    <w:p>
      <w:pPr>
        <w:spacing w:after="160" w:before="0"/>
      </w:pPr>
      <w:r>
        <w:rPr>
          <w:rFonts w:ascii="Arial" w:cs="Arial" w:eastAsia="Arial" w:hAnsi="Arial"/>
          <w:color w:val="1A1A1A"/>
          <w:sz w:val="22"/>
          <w:szCs w:val="22"/>
        </w:rPr>
        <w:t xml:space="preserve">A new standalone manifesto page was built at /manifesto, accessible from the site footer. It opens with the statement “The algorithm doesn’t know what it doesn’t know” and lays out six core tenets for why human underwriting expertise cannot be replaced by AI at scale:</w:t>
      </w:r>
    </w:p>
    <w:p>
      <w:pPr>
        <w:pStyle w:val="ListParagraph"/>
        <w:numPr>
          <w:ilvl w:val="0"/>
          <w:numId w:val="2"/>
        </w:numPr>
        <w:spacing w:after="60" w:before="60"/>
      </w:pPr>
      <w:r>
        <w:rPr>
          <w:rFonts w:ascii="Arial" w:cs="Arial" w:eastAsia="Arial" w:hAnsi="Arial"/>
          <w:b/>
          <w:bCs/>
          <w:color w:val="1A1A1A"/>
          <w:sz w:val="22"/>
          <w:szCs w:val="22"/>
        </w:rPr>
        <w:t xml:space="preserve">AI learns from the past. </w:t>
      </w:r>
      <w:r>
        <w:rPr>
          <w:rFonts w:ascii="Arial" w:cs="Arial" w:eastAsia="Arial" w:hAnsi="Arial"/>
          <w:color w:val="1A1A1A"/>
          <w:sz w:val="22"/>
          <w:szCs w:val="22"/>
        </w:rPr>
        <w:t xml:space="preserve">The people who trained the models are still here, working in public.</w:t>
      </w:r>
    </w:p>
    <w:p>
      <w:pPr>
        <w:pStyle w:val="ListParagraph"/>
        <w:numPr>
          <w:ilvl w:val="0"/>
          <w:numId w:val="2"/>
        </w:numPr>
        <w:spacing w:after="60" w:before="60"/>
      </w:pPr>
      <w:r>
        <w:rPr>
          <w:rFonts w:ascii="Arial" w:cs="Arial" w:eastAsia="Arial" w:hAnsi="Arial"/>
          <w:b/>
          <w:bCs/>
          <w:color w:val="1A1A1A"/>
          <w:sz w:val="22"/>
          <w:szCs w:val="22"/>
        </w:rPr>
        <w:t xml:space="preserve">Scale ≠ automation. </w:t>
      </w:r>
      <w:r>
        <w:rPr>
          <w:rFonts w:ascii="Arial" w:cs="Arial" w:eastAsia="Arial" w:hAnsi="Arial"/>
          <w:color w:val="1A1A1A"/>
          <w:sz w:val="22"/>
          <w:szCs w:val="22"/>
        </w:rPr>
        <w:t xml:space="preserve">More people with real knowledge means more coverage — not fewer humans.</w:t>
      </w:r>
    </w:p>
    <w:p>
      <w:pPr>
        <w:pStyle w:val="ListParagraph"/>
        <w:numPr>
          <w:ilvl w:val="0"/>
          <w:numId w:val="2"/>
        </w:numPr>
        <w:spacing w:after="60" w:before="60"/>
      </w:pPr>
      <w:r>
        <w:rPr>
          <w:rFonts w:ascii="Arial" w:cs="Arial" w:eastAsia="Arial" w:hAnsi="Arial"/>
          <w:b/>
          <w:bCs/>
          <w:color w:val="1A1A1A"/>
          <w:sz w:val="22"/>
          <w:szCs w:val="22"/>
        </w:rPr>
        <w:t xml:space="preserve">Accountability travels with a name. </w:t>
      </w:r>
      <w:r>
        <w:rPr>
          <w:rFonts w:ascii="Arial" w:cs="Arial" w:eastAsia="Arial" w:hAnsi="Arial"/>
          <w:color w:val="1A1A1A"/>
          <w:sz w:val="22"/>
          <w:szCs w:val="22"/>
        </w:rPr>
        <w:t xml:space="preserve">Every DUG opinion is staked to a real professional and a public track record.</w:t>
      </w:r>
    </w:p>
    <w:p>
      <w:pPr>
        <w:pStyle w:val="ListParagraph"/>
        <w:numPr>
          <w:ilvl w:val="0"/>
          <w:numId w:val="2"/>
        </w:numPr>
        <w:spacing w:after="60" w:before="60"/>
      </w:pPr>
      <w:r>
        <w:rPr>
          <w:rFonts w:ascii="Arial" w:cs="Arial" w:eastAsia="Arial" w:hAnsi="Arial"/>
          <w:b/>
          <w:bCs/>
          <w:color w:val="1A1A1A"/>
          <w:sz w:val="22"/>
          <w:szCs w:val="22"/>
        </w:rPr>
        <w:t xml:space="preserve">The algorithm optimizes what it can measure. </w:t>
      </w:r>
      <w:r>
        <w:rPr>
          <w:rFonts w:ascii="Arial" w:cs="Arial" w:eastAsia="Arial" w:hAnsi="Arial"/>
          <w:color w:val="1A1A1A"/>
          <w:sz w:val="22"/>
          <w:szCs w:val="22"/>
        </w:rPr>
        <w:t xml:space="preserve">Human experts navigate what can’t be measured — judgment, nuance, and edge cases.</w:t>
      </w:r>
    </w:p>
    <w:p>
      <w:pPr>
        <w:pStyle w:val="ListParagraph"/>
        <w:numPr>
          <w:ilvl w:val="0"/>
          <w:numId w:val="2"/>
        </w:numPr>
        <w:spacing w:after="60" w:before="60"/>
      </w:pPr>
      <w:r>
        <w:rPr>
          <w:rFonts w:ascii="Arial" w:cs="Arial" w:eastAsia="Arial" w:hAnsi="Arial"/>
          <w:b/>
          <w:bCs/>
          <w:color w:val="1A1A1A"/>
          <w:sz w:val="22"/>
          <w:szCs w:val="22"/>
        </w:rPr>
        <w:t xml:space="preserve">We are the hedge. </w:t>
      </w:r>
      <w:r>
        <w:rPr>
          <w:rFonts w:ascii="Arial" w:cs="Arial" w:eastAsia="Arial" w:hAnsi="Arial"/>
          <w:color w:val="1A1A1A"/>
          <w:sz w:val="22"/>
          <w:szCs w:val="22"/>
        </w:rPr>
        <w:t xml:space="preserve">In a world racing toward full automation, expertise in the open is the counterweight.</w:t>
      </w:r>
    </w:p>
    <w:p>
      <w:pPr>
        <w:spacing w:after="80" w:before="160"/>
        <w:ind w:left="720" w:right="720"/>
      </w:pPr>
      <w:r>
        <w:rPr>
          <w:rFonts w:ascii="Arial" w:cs="Arial" w:eastAsia="Arial" w:hAnsi="Arial"/>
          <w:i/>
          <w:iCs/>
          <w:color w:val="555555"/>
          <w:sz w:val="22"/>
          <w:szCs w:val="22"/>
        </w:rPr>
        <w:t xml:space="preserve">“Ten thousand underwriters, working in public, staking their reputations on every call — that’s not a product feature. That’s a structural advantage no model can replicate.”</w:t>
      </w:r>
    </w:p>
    <w:p>
      <w:pPr>
        <w:pStyle w:val="Heading1"/>
        <w:spacing w:after="120" w:before="400"/>
      </w:pPr>
      <w:r>
        <w:rPr>
          <w:rFonts w:ascii="Arial" w:cs="Arial" w:eastAsia="Arial" w:hAnsi="Arial"/>
          <w:b/>
          <w:bCs/>
          <w:color w:val="6B4226"/>
          <w:sz w:val="28"/>
          <w:szCs w:val="28"/>
        </w:rPr>
        <w:t xml:space="preserve">5b.  Provocative Marketing Language (Homepage)</w:t>
      </w:r>
    </w:p>
    <w:p>
      <w:pPr>
        <w:spacing w:after="160" w:before="0"/>
      </w:pPr>
      <w:r>
        <w:rPr>
          <w:rFonts w:ascii="Arial" w:cs="Arial" w:eastAsia="Arial" w:hAnsi="Arial"/>
          <w:color w:val="1A1A1A"/>
          <w:sz w:val="22"/>
          <w:szCs w:val="22"/>
        </w:rPr>
        <w:t xml:space="preserve">New high-impact copy was written and deployed across the DUG homepage to sharpen positioning against AI automation. Key lines added:</w:t>
      </w:r>
    </w:p>
    <w:p>
      <w:pPr>
        <w:spacing w:after="80" w:before="80"/>
      </w:pPr>
      <w:r>
        <w:rPr>
          <w:rFonts w:ascii="Arial" w:cs="Arial" w:eastAsia="Arial" w:hAnsi="Arial"/>
          <w:b/>
          <w:bCs/>
          <w:color w:val="1A1A1A"/>
          <w:sz w:val="22"/>
          <w:szCs w:val="22"/>
        </w:rPr>
        <w:t xml:space="preserve">Hero Headline: </w:t>
      </w:r>
      <w:r>
        <w:rPr>
          <w:rFonts w:ascii="Arial" w:cs="Arial" w:eastAsia="Arial" w:hAnsi="Arial"/>
          <w:color w:val="1A1A1A"/>
          <w:sz w:val="22"/>
          <w:szCs w:val="22"/>
        </w:rPr>
        <w:t xml:space="preserve">“Where underwriters are made.”</w:t>
      </w:r>
    </w:p>
    <w:p>
      <w:pPr>
        <w:spacing w:after="80" w:before="80"/>
      </w:pPr>
      <w:r>
        <w:rPr>
          <w:rFonts w:ascii="Arial" w:cs="Arial" w:eastAsia="Arial" w:hAnsi="Arial"/>
          <w:b/>
          <w:bCs/>
          <w:color w:val="1A1A1A"/>
          <w:sz w:val="22"/>
          <w:szCs w:val="22"/>
        </w:rPr>
        <w:t xml:space="preserve">Provocation Line: </w:t>
      </w:r>
      <w:r>
        <w:rPr>
          <w:rFonts w:ascii="Arial" w:cs="Arial" w:eastAsia="Arial" w:hAnsi="Arial"/>
          <w:color w:val="1A1A1A"/>
          <w:sz w:val="22"/>
          <w:szCs w:val="22"/>
        </w:rPr>
        <w:t xml:space="preserve">“The industry spent billions automating underwriting. We scaled the people they replaced.”</w:t>
      </w:r>
    </w:p>
    <w:p>
      <w:pPr>
        <w:spacing w:after="80" w:before="80"/>
      </w:pPr>
      <w:r>
        <w:rPr>
          <w:rFonts w:ascii="Arial" w:cs="Arial" w:eastAsia="Arial" w:hAnsi="Arial"/>
          <w:b/>
          <w:bCs/>
          <w:color w:val="1A1A1A"/>
          <w:sz w:val="22"/>
          <w:szCs w:val="22"/>
        </w:rPr>
        <w:t xml:space="preserve">CTA Section Headline: </w:t>
      </w:r>
      <w:r>
        <w:rPr>
          <w:rFonts w:ascii="Arial" w:cs="Arial" w:eastAsia="Arial" w:hAnsi="Arial"/>
          <w:color w:val="1A1A1A"/>
          <w:sz w:val="22"/>
          <w:szCs w:val="22"/>
        </w:rPr>
        <w:t xml:space="preserve">“Your expertise is already here. The reps aren’t.”</w:t>
      </w:r>
    </w:p>
    <w:p>
      <w:pPr>
        <w:spacing w:after="80" w:before="80"/>
      </w:pPr>
      <w:r>
        <w:rPr>
          <w:rFonts w:ascii="Arial" w:cs="Arial" w:eastAsia="Arial" w:hAnsi="Arial"/>
          <w:b/>
          <w:bCs/>
          <w:color w:val="1A1A1A"/>
          <w:sz w:val="22"/>
          <w:szCs w:val="22"/>
        </w:rPr>
        <w:t xml:space="preserve">Community Tagline: </w:t>
      </w:r>
      <w:r>
        <w:rPr>
          <w:rFonts w:ascii="Arial" w:cs="Arial" w:eastAsia="Arial" w:hAnsi="Arial"/>
          <w:color w:val="1A1A1A"/>
          <w:sz w:val="22"/>
          <w:szCs w:val="22"/>
        </w:rPr>
        <w:t xml:space="preserve">“Credibility you earn in public.”</w:t>
      </w:r>
    </w:p>
    <w:p>
      <w:pPr>
        <w:spacing w:after="80" w:before="80"/>
      </w:pPr>
      <w:r>
        <w:rPr>
          <w:rFonts w:ascii="Arial" w:cs="Arial" w:eastAsia="Arial" w:hAnsi="Arial"/>
          <w:b/>
          <w:bCs/>
          <w:color w:val="1A1A1A"/>
          <w:sz w:val="22"/>
          <w:szCs w:val="22"/>
        </w:rPr>
        <w:t xml:space="preserve">Dojo Tagline: </w:t>
      </w:r>
      <w:r>
        <w:rPr>
          <w:rFonts w:ascii="Arial" w:cs="Arial" w:eastAsia="Arial" w:hAnsi="Arial"/>
          <w:color w:val="1A1A1A"/>
          <w:sz w:val="22"/>
          <w:szCs w:val="22"/>
        </w:rPr>
        <w:t xml:space="preserve">“The path from insider to underwriter.”</w:t>
      </w:r>
    </w:p>
    <w:p>
      <w:pPr>
        <w:spacing w:after="80" w:before="80"/>
      </w:pPr>
      <w:r>
        <w:rPr>
          <w:rFonts w:ascii="Arial" w:cs="Arial" w:eastAsia="Arial" w:hAnsi="Arial"/>
          <w:b/>
          <w:bCs/>
          <w:color w:val="1A1A1A"/>
          <w:sz w:val="22"/>
          <w:szCs w:val="22"/>
        </w:rPr>
        <w:t xml:space="preserve">Footer Micro-Copy: </w:t>
      </w:r>
      <w:r>
        <w:rPr>
          <w:rFonts w:ascii="Arial" w:cs="Arial" w:eastAsia="Arial" w:hAnsi="Arial"/>
          <w:color w:val="1A1A1A"/>
          <w:sz w:val="22"/>
          <w:szCs w:val="22"/>
        </w:rPr>
        <w:t xml:space="preserve">“Free to join. No carrier affiliation required. Lurk, learn, or earn — your call.”</w:t>
      </w:r>
    </w:p>
    <w:p>
      <w:pPr>
        <w:spacing w:after="160" w:before="240"/>
        <w:ind w:left="360" w:right="360"/>
        <w:pBdr>
          <w:top w:val="single" w:sz="6" w:space="8" w:color="6B4226"/>
          <w:bottom w:val="single" w:sz="6" w:space="8" w:color="6B4226"/>
          <w:left w:val="single" w:sz="6" w:space="8" w:color="6B4226"/>
          <w:right w:val="single" w:sz="6" w:space="8" w:color="6B4226"/>
        </w:pBdr>
      </w:pPr>
      <w:r>
        <w:rPr>
          <w:rFonts w:ascii="Arial" w:cs="Arial" w:eastAsia="Arial" w:hAnsi="Arial"/>
          <w:b/>
          <w:bCs/>
          <w:color w:val="6B4226"/>
          <w:sz w:val="22"/>
          <w:szCs w:val="22"/>
        </w:rPr>
        <w:t xml:space="preserve">⚠ Client Action Required: </w:t>
      </w:r>
      <w:r>
        <w:rPr>
          <w:rFonts w:ascii="Arial" w:cs="Arial" w:eastAsia="Arial" w:hAnsi="Arial"/>
          <w:color w:val="1A1A1A"/>
          <w:sz w:val="22"/>
          <w:szCs w:val="22"/>
        </w:rPr>
        <w:t xml:space="preserve">Please check your Deliverables tab in your CannonCodeConnect project portal — the full Logo Stack has been uploaded there for your review and approval.</w:t>
      </w:r>
    </w:p>
    <w:p>
      <w:pPr>
        <w:pStyle w:val="Heading1"/>
        <w:spacing w:after="120" w:before="400"/>
      </w:pPr>
      <w:r>
        <w:rPr>
          <w:rFonts w:ascii="Arial" w:cs="Arial" w:eastAsia="Arial" w:hAnsi="Arial"/>
          <w:b/>
          <w:bCs/>
          <w:color w:val="6B4226"/>
          <w:sz w:val="28"/>
          <w:szCs w:val="28"/>
        </w:rPr>
        <w:t xml:space="preserve">6.  Partnership Outreach Framework</w:t>
      </w:r>
    </w:p>
    <w:p>
      <w:pPr>
        <w:spacing w:after="160" w:before="0"/>
      </w:pPr>
      <w:r>
        <w:rPr>
          <w:rFonts w:ascii="Arial" w:cs="Arial" w:eastAsia="Arial" w:hAnsi="Arial"/>
          <w:color w:val="1A1A1A"/>
          <w:sz w:val="22"/>
          <w:szCs w:val="22"/>
        </w:rPr>
        <w:t xml:space="preserve">A standalone Word document — DUG_Partnership_Outreach_Framework.docx — was written and saved to the /docs folder. It covers five priority education and trade partners:</w:t>
      </w:r>
    </w:p>
    <w:p>
      <w:pPr>
        <w:spacing w:after="40" w:before="0"/>
      </w:pPr>
    </w:p>
    <w:p>
      <w:pPr>
        <w:pStyle w:val="ListParagraph"/>
        <w:numPr>
          <w:ilvl w:val="0"/>
          <w:numId w:val="2"/>
        </w:numPr>
        <w:spacing w:after="60" w:before="60"/>
      </w:pPr>
      <w:r>
        <w:rPr>
          <w:rFonts w:ascii="Arial" w:cs="Arial" w:eastAsia="Arial" w:hAnsi="Arial"/>
          <w:b w:val="false"/>
          <w:bCs w:val="false"/>
          <w:color w:val="1A1A1A"/>
          <w:sz w:val="22"/>
          <w:szCs w:val="22"/>
        </w:rPr>
        <w:t xml:space="preserve">The Institutes (CPCU, ARM) — credential verification + CE pathway</w:t>
      </w:r>
    </w:p>
    <w:p>
      <w:pPr>
        <w:pStyle w:val="ListParagraph"/>
        <w:numPr>
          <w:ilvl w:val="0"/>
          <w:numId w:val="2"/>
        </w:numPr>
        <w:spacing w:after="60" w:before="60"/>
      </w:pPr>
      <w:r>
        <w:rPr>
          <w:rFonts w:ascii="Arial" w:cs="Arial" w:eastAsia="Arial" w:hAnsi="Arial"/>
          <w:b w:val="false"/>
          <w:bCs w:val="false"/>
          <w:color w:val="1A1A1A"/>
          <w:sz w:val="22"/>
          <w:szCs w:val="22"/>
        </w:rPr>
        <w:t xml:space="preserve">National Alliance (CIC, CISR) — practical training alignment</w:t>
      </w:r>
    </w:p>
    <w:p>
      <w:pPr>
        <w:pStyle w:val="ListParagraph"/>
        <w:numPr>
          <w:ilvl w:val="0"/>
          <w:numId w:val="2"/>
        </w:numPr>
        <w:spacing w:after="60" w:before="60"/>
      </w:pPr>
      <w:r>
        <w:rPr>
          <w:rFonts w:ascii="Arial" w:cs="Arial" w:eastAsia="Arial" w:hAnsi="Arial"/>
          <w:b w:val="false"/>
          <w:bCs w:val="false"/>
          <w:color w:val="1A1A1A"/>
          <w:sz w:val="22"/>
          <w:szCs w:val="22"/>
        </w:rPr>
        <w:t xml:space="preserve">IEA (Insurance Education Association) — regional CE provider approval</w:t>
      </w:r>
    </w:p>
    <w:p>
      <w:pPr>
        <w:pStyle w:val="ListParagraph"/>
        <w:numPr>
          <w:ilvl w:val="0"/>
          <w:numId w:val="2"/>
        </w:numPr>
        <w:spacing w:after="60" w:before="60"/>
      </w:pPr>
      <w:r>
        <w:rPr>
          <w:rFonts w:ascii="Arial" w:cs="Arial" w:eastAsia="Arial" w:hAnsi="Arial"/>
          <w:b w:val="false"/>
          <w:bCs w:val="false"/>
          <w:color w:val="1A1A1A"/>
          <w:sz w:val="22"/>
          <w:szCs w:val="22"/>
        </w:rPr>
        <w:t xml:space="preserve">PLUS (Professional Liability Underwriting Society) — specialty market entry</w:t>
      </w:r>
    </w:p>
    <w:p>
      <w:pPr>
        <w:pStyle w:val="ListParagraph"/>
        <w:numPr>
          <w:ilvl w:val="0"/>
          <w:numId w:val="2"/>
        </w:numPr>
        <w:spacing w:after="60" w:before="60"/>
      </w:pPr>
      <w:r>
        <w:rPr>
          <w:rFonts w:ascii="Arial" w:cs="Arial" w:eastAsia="Arial" w:hAnsi="Arial"/>
          <w:b w:val="false"/>
          <w:bCs w:val="false"/>
          <w:color w:val="1A1A1A"/>
          <w:sz w:val="22"/>
          <w:szCs w:val="22"/>
        </w:rPr>
        <w:t xml:space="preserve">RIMS (Risk &amp; Insurance Management Society) — risk manager demand-side</w:t>
      </w:r>
    </w:p>
    <w:p>
      <w:pPr>
        <w:spacing w:after="80" w:before="0"/>
      </w:pPr>
    </w:p>
    <w:p>
      <w:pPr>
        <w:spacing w:after="160" w:before="0"/>
      </w:pPr>
      <w:r>
        <w:rPr>
          <w:rFonts w:ascii="Arial" w:cs="Arial" w:eastAsia="Arial" w:hAnsi="Arial"/>
          <w:color w:val="1A1A1A"/>
          <w:sz w:val="22"/>
          <w:szCs w:val="22"/>
        </w:rPr>
        <w:t xml:space="preserve">For each partner the document includes audience, engagement priority, what DUG offers vs. what it asks for, and a ready-to-send email template. A long-term Embedded E&amp;O roadmap with a five-stage build timeline is also included.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32A" w:sz="8"/>
              <w:left w:val="single" w:color="E8C87A" w:sz="1"/>
              <w:bottom w:val="single" w:color="E8C87A" w:sz="1"/>
              <w:right w:val="single" w:color="E8C87A" w:sz="1"/>
            </w:tcBorders>
            <w:shd w:fill="F0F7FF" w:val="clear"/>
            <w:tcMar>
              <w:top w:type="dxa" w:w="120"/>
              <w:left w:type="dxa" w:w="180"/>
              <w:bottom w:type="dxa" w:w="120"/>
              <w:right w:type="dxa" w:w="180"/>
            </w:tcMar>
          </w:tcPr>
          <w:p>
            <w:r>
              <w:rPr>
                <w:rFonts w:ascii="Arial" w:cs="Arial" w:eastAsia="Arial" w:hAnsi="Arial"/>
                <w:color w:val="1A1A1A"/>
                <w:sz w:val="22"/>
                <w:szCs w:val="22"/>
              </w:rPr>
              <w:t xml:space="preserve">Strategic posture: DUG does not compete with education providers. It creates a verified practice layer and peer community on top of their credentials. The ask is lightweight — data sharing and co-marketing, not deep integration.</w:t>
            </w:r>
          </w:p>
        </w:tc>
      </w:tr>
    </w:tbl>
    <w:p>
      <w:pPr>
        <w:pStyle w:val="Heading1"/>
        <w:spacing w:after="120" w:before="400"/>
      </w:pPr>
      <w:r>
        <w:rPr>
          <w:rFonts w:ascii="Arial" w:cs="Arial" w:eastAsia="Arial" w:hAnsi="Arial"/>
          <w:b/>
          <w:bCs/>
          <w:color w:val="6B4226"/>
          <w:sz w:val="28"/>
          <w:szCs w:val="28"/>
        </w:rPr>
        <w:t xml:space="preserve">7.  Revenue Model Document Updates</w:t>
      </w:r>
    </w:p>
    <w:p>
      <w:pPr>
        <w:spacing w:after="160" w:before="0"/>
      </w:pPr>
      <w:r>
        <w:rPr>
          <w:rFonts w:ascii="Arial" w:cs="Arial" w:eastAsia="Arial" w:hAnsi="Arial"/>
          <w:color w:val="1A1A1A"/>
          <w:sz w:val="22"/>
          <w:szCs w:val="22"/>
        </w:rPr>
        <w:t xml:space="preserve">The primary strategy document (DUG - Revenue Model &amp; Embedded Products Strategy.docx) received two major additions:</w:t>
      </w:r>
    </w:p>
    <w:p>
      <w:pPr>
        <w:spacing w:after="40" w:before="0"/>
      </w:pPr>
    </w:p>
    <w:p>
      <w:pPr>
        <w:pStyle w:val="Heading2"/>
        <w:spacing w:after="80" w:before="280"/>
      </w:pPr>
      <w:r>
        <w:rPr>
          <w:rFonts w:ascii="Arial" w:cs="Arial" w:eastAsia="Arial" w:hAnsi="Arial"/>
          <w:b/>
          <w:bCs/>
          <w:color w:val="1A1A1A"/>
          <w:sz w:val="24"/>
          <w:szCs w:val="24"/>
        </w:rPr>
        <w:t xml:space="preserve">Part 3 (new) — Underwriting Assessment &amp; Interview Platform</w:t>
      </w:r>
    </w:p>
    <w:p>
      <w:pPr>
        <w:spacing w:after="160" w:before="0"/>
      </w:pPr>
      <w:r>
        <w:rPr>
          <w:rFonts w:ascii="Arial" w:cs="Arial" w:eastAsia="Arial" w:hAnsi="Arial"/>
          <w:color w:val="1A1A1A"/>
          <w:sz w:val="22"/>
          <w:szCs w:val="22"/>
        </w:rPr>
        <w:t xml:space="preserve">Covers the market gap in underwriting talent evaluation, the Live Interview Sandbox concept (analogous to LeetCode for developers), and the Assessment Library and Benchmark Moat strategy. Includes a four-phase build roadmap from MVP text cases through certification integration and per-assessment licensing.</w:t>
      </w:r>
    </w:p>
    <w:p>
      <w:pPr>
        <w:pStyle w:val="Heading2"/>
        <w:spacing w:after="80" w:before="280"/>
      </w:pPr>
      <w:r>
        <w:rPr>
          <w:rFonts w:ascii="Arial" w:cs="Arial" w:eastAsia="Arial" w:hAnsi="Arial"/>
          <w:b/>
          <w:bCs/>
          <w:color w:val="1A1A1A"/>
          <w:sz w:val="24"/>
          <w:szCs w:val="24"/>
        </w:rPr>
        <w:t xml:space="preserve">Extended Budget Models Section</w:t>
      </w:r>
    </w:p>
    <w:p>
      <w:pPr>
        <w:spacing w:after="160" w:before="0"/>
      </w:pPr>
      <w:r>
        <w:rPr>
          <w:rFonts w:ascii="Arial" w:cs="Arial" w:eastAsia="Arial" w:hAnsi="Arial"/>
          <w:color w:val="1A1A1A"/>
          <w:sz w:val="22"/>
          <w:szCs w:val="22"/>
        </w:rPr>
        <w:t xml:space="preserve">Per-find bounty and milestone billing mechanics, carrier economics, storage schema, and the platform philosophy on leakage: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32A" w:sz="8"/>
              <w:left w:val="single" w:color="E8C87A" w:sz="1"/>
              <w:bottom w:val="single" w:color="E8C87A" w:sz="1"/>
              <w:right w:val="single" w:color="E8C87A" w:sz="1"/>
            </w:tcBorders>
            <w:shd w:fill="FEF6EE" w:val="clear"/>
            <w:tcMar>
              <w:top w:type="dxa" w:w="120"/>
              <w:left w:type="dxa" w:w="180"/>
              <w:bottom w:type="dxa" w:w="120"/>
              <w:right w:type="dxa" w:w="180"/>
            </w:tcMar>
          </w:tcPr>
          <w:p>
            <w:r>
              <w:rPr>
                <w:rFonts w:ascii="Arial" w:cs="Arial" w:eastAsia="Arial" w:hAnsi="Arial"/>
                <w:color w:val="1A1A1A"/>
                <w:sz w:val="22"/>
                <w:szCs w:val="22"/>
              </w:rPr>
              <w:t xml:space="preserve">Leakage is a feature. If carriers are poaching DUG community members directly, that is proof of value — not a failure of controls. DUG's moat is community depth and volume, not lock-in.</w:t>
            </w:r>
          </w:p>
        </w:tc>
      </w:tr>
    </w:tbl>
    <w:p>
      <w:pPr>
        <w:pStyle w:val="Heading1"/>
        <w:spacing w:after="120" w:before="400"/>
      </w:pPr>
      <w:r>
        <w:rPr>
          <w:rFonts w:ascii="Arial" w:cs="Arial" w:eastAsia="Arial" w:hAnsi="Arial"/>
          <w:b/>
          <w:bCs/>
          <w:color w:val="6B4226"/>
          <w:sz w:val="28"/>
          <w:szCs w:val="28"/>
        </w:rPr>
        <w:t xml:space="preserve">8.  GitHub &amp; Deployment Status</w:t>
      </w:r>
    </w:p>
    <w:p>
      <w:pPr>
        <w:spacing w:after="160" w:before="0"/>
      </w:pPr>
      <w:r>
        <w:rPr>
          <w:rFonts w:ascii="Arial" w:cs="Arial" w:eastAsia="Arial" w:hAnsi="Arial"/>
          <w:color w:val="1A1A1A"/>
          <w:sz w:val="22"/>
          <w:szCs w:val="22"/>
        </w:rPr>
        <w:t xml:space="preserve">All platform code changes were pushed to TheJimmyJam/DUG via the GitHub REST API. Files updated:</w:t>
      </w:r>
    </w:p>
    <w:p>
      <w:pPr>
        <w:spacing w:after="40" w:before="0"/>
      </w:pPr>
    </w:p>
    <w:p>
      <w:pPr>
        <w:pStyle w:val="ListParagraph"/>
        <w:numPr>
          <w:ilvl w:val="0"/>
          <w:numId w:val="2"/>
        </w:numPr>
        <w:spacing w:after="60" w:before="60"/>
      </w:pPr>
      <w:r>
        <w:rPr>
          <w:rFonts w:ascii="Arial" w:cs="Arial" w:eastAsia="Arial" w:hAnsi="Arial"/>
          <w:b w:val="false"/>
          <w:bCs w:val="false"/>
          <w:color w:val="1A1A1A"/>
          <w:sz w:val="22"/>
          <w:szCs w:val="22"/>
        </w:rPr>
        <w:t xml:space="preserve">src/app/post-job/actions.ts — tier logic, fee map, milestone parsing, per_find budgets</w:t>
      </w:r>
    </w:p>
    <w:p>
      <w:pPr>
        <w:pStyle w:val="ListParagraph"/>
        <w:numPr>
          <w:ilvl w:val="0"/>
          <w:numId w:val="2"/>
        </w:numPr>
        <w:spacing w:after="60" w:before="60"/>
      </w:pPr>
      <w:r>
        <w:rPr>
          <w:rFonts w:ascii="Arial" w:cs="Arial" w:eastAsia="Arial" w:hAnsi="Arial"/>
          <w:b w:val="false"/>
          <w:bCs w:val="false"/>
          <w:color w:val="1A1A1A"/>
          <w:sz w:val="22"/>
          <w:szCs w:val="22"/>
        </w:rPr>
        <w:t xml:space="preserve">src/app/post-job/post-job-form.tsx — tier badge, SLA selector, per_find + milestone UIs</w:t>
      </w:r>
    </w:p>
    <w:p>
      <w:pPr>
        <w:pStyle w:val="ListParagraph"/>
        <w:numPr>
          <w:ilvl w:val="0"/>
          <w:numId w:val="2"/>
        </w:numPr>
        <w:spacing w:after="60" w:before="60"/>
      </w:pPr>
      <w:r>
        <w:rPr>
          <w:rFonts w:ascii="Arial" w:cs="Arial" w:eastAsia="Arial" w:hAnsi="Arial"/>
          <w:b w:val="false"/>
          <w:bCs w:val="false"/>
          <w:color w:val="1A1A1A"/>
          <w:sz w:val="22"/>
          <w:szCs w:val="22"/>
        </w:rPr>
        <w:t xml:space="preserve">src/app/jobs/jobs-board.tsx — portfolio_audit label</w:t>
      </w:r>
    </w:p>
    <w:p>
      <w:pPr>
        <w:pStyle w:val="ListParagraph"/>
        <w:numPr>
          <w:ilvl w:val="0"/>
          <w:numId w:val="2"/>
        </w:numPr>
        <w:spacing w:after="60" w:before="60"/>
      </w:pPr>
      <w:r>
        <w:rPr>
          <w:rFonts w:ascii="Arial" w:cs="Arial" w:eastAsia="Arial" w:hAnsi="Arial"/>
          <w:b w:val="false"/>
          <w:bCs w:val="false"/>
          <w:color w:val="1A1A1A"/>
          <w:sz w:val="22"/>
          <w:szCs w:val="22"/>
        </w:rPr>
        <w:t xml:space="preserve">src/app/jobs/[id]/page.tsx — full JOB_TYPE_LABEL map</w:t>
      </w:r>
    </w:p>
    <w:p>
      <w:pPr>
        <w:pStyle w:val="ListParagraph"/>
        <w:numPr>
          <w:ilvl w:val="0"/>
          <w:numId w:val="2"/>
        </w:numPr>
        <w:spacing w:after="60" w:before="60"/>
      </w:pPr>
      <w:r>
        <w:rPr>
          <w:rFonts w:ascii="Arial" w:cs="Arial" w:eastAsia="Arial" w:hAnsi="Arial"/>
          <w:b w:val="false"/>
          <w:bCs w:val="false"/>
          <w:color w:val="1A1A1A"/>
          <w:sz w:val="22"/>
          <w:szCs w:val="22"/>
        </w:rPr>
        <w:t xml:space="preserve">src/app/pricing/page.tsx — new /pricing route</w:t>
      </w:r>
    </w:p>
    <w:p>
      <w:pPr>
        <w:pStyle w:val="ListParagraph"/>
        <w:numPr>
          <w:ilvl w:val="0"/>
          <w:numId w:val="2"/>
        </w:numPr>
        <w:spacing w:after="60" w:before="60"/>
      </w:pPr>
      <w:r>
        <w:rPr>
          <w:rFonts w:ascii="Arial" w:cs="Arial" w:eastAsia="Arial" w:hAnsi="Arial"/>
          <w:b w:val="false"/>
          <w:bCs w:val="false"/>
          <w:color w:val="1A1A1A"/>
          <w:sz w:val="22"/>
          <w:szCs w:val="22"/>
        </w:rPr>
        <w:t xml:space="preserve">src/components/site-footer.tsx — Pricing + manifesto + trust links</w:t>
      </w:r>
    </w:p>
    <w:p>
      <w:pPr>
        <w:spacing w:after="80" w:before="0"/>
      </w:pPr>
    </w:p>
    <w:p>
      <w:pPr>
        <w:spacing w:after="160" w:before="0"/>
      </w:pPr>
      <w:r>
        <w:rPr>
          <w:rFonts w:ascii="Arial" w:cs="Arial" w:eastAsia="Arial" w:hAnsi="Arial"/>
          <w:color w:val="1A1A1A"/>
          <w:sz w:val="22"/>
          <w:szCs w:val="22"/>
        </w:rPr>
        <w:t xml:space="preserve">Netlify auto-deploys on push to main. Live site:</w:t>
      </w:r>
    </w:p>
    <w:p>
      <w:pPr>
        <w:spacing w:after="160" w:before="60"/>
      </w:pPr>
      <w:hyperlink w:history="1" r:id="rIdwe3m0mf29eowsdxde7xpj">
        <w:r>
          <w:rPr>
            <w:rFonts w:ascii="Arial" w:cs="Arial" w:eastAsia="Arial" w:hAnsi="Arial"/>
            <w:color w:val="1155CC"/>
            <w:sz w:val="22"/>
            <w:szCs w:val="22"/>
            <w:u w:val="single"/>
          </w:rPr>
          <w:t xml:space="preserve">https://decentralizedunderwritinggroup.netlify.app</w:t>
        </w:r>
      </w:hyperlink>
    </w:p>
    <w:p>
      <w:pPr>
        <w:pStyle w:val="Heading1"/>
        <w:spacing w:after="120" w:before="400"/>
      </w:pPr>
      <w:r>
        <w:rPr>
          <w:rFonts w:ascii="Arial" w:cs="Arial" w:eastAsia="Arial" w:hAnsi="Arial"/>
          <w:b/>
          <w:bCs/>
          <w:color w:val="6B4226"/>
          <w:sz w:val="28"/>
          <w:szCs w:val="28"/>
        </w:rPr>
        <w:t xml:space="preserve">9.  Suggested Next Priorities</w:t>
      </w:r>
    </w:p>
    <w:p>
      <w:pPr>
        <w:spacing w:after="160" w:before="0"/>
      </w:pPr>
      <w:r>
        <w:rPr>
          <w:rFonts w:ascii="Arial" w:cs="Arial" w:eastAsia="Arial" w:hAnsi="Arial"/>
          <w:color w:val="1A1A1A"/>
          <w:sz w:val="22"/>
          <w:szCs w:val="22"/>
        </w:rPr>
        <w:t xml:space="preserve">Based on the current build state, the highest-value next steps are:</w:t>
      </w:r>
    </w:p>
    <w:p>
      <w:pPr>
        <w:spacing w:after="40" w:before="0"/>
      </w:pPr>
    </w:p>
    <w:p>
      <w:pPr>
        <w:pStyle w:val="ListParagraph"/>
        <w:numPr>
          <w:ilvl w:val="0"/>
          <w:numId w:val="2"/>
        </w:numPr>
        <w:spacing w:after="60" w:before="60"/>
      </w:pPr>
      <w:r>
        <w:rPr>
          <w:rFonts w:ascii="Arial" w:cs="Arial" w:eastAsia="Arial" w:hAnsi="Arial"/>
          <w:b/>
          <w:bCs/>
          <w:color w:val="1A1A1A"/>
          <w:sz w:val="22"/>
          <w:szCs w:val="22"/>
        </w:rPr>
        <w:t xml:space="preserve">Job detail page — display find_bounty_cents and milestones JSONB in the UI for both requesters and underwriters</w:t>
      </w:r>
    </w:p>
    <w:p>
      <w:pPr>
        <w:pStyle w:val="ListParagraph"/>
        <w:numPr>
          <w:ilvl w:val="0"/>
          <w:numId w:val="2"/>
        </w:numPr>
        <w:spacing w:after="60" w:before="60"/>
      </w:pPr>
      <w:r>
        <w:rPr>
          <w:rFonts w:ascii="Arial" w:cs="Arial" w:eastAsia="Arial" w:hAnsi="Arial"/>
          <w:b w:val="false"/>
          <w:bCs w:val="false"/>
          <w:color w:val="1A1A1A"/>
          <w:sz w:val="22"/>
          <w:szCs w:val="22"/>
        </w:rPr>
        <w:t xml:space="preserve">Claim flow — wire milestone status updates (pending → in_progress → complete) to trigger payout events in revenue_events</w:t>
      </w:r>
    </w:p>
    <w:p>
      <w:pPr>
        <w:pStyle w:val="ListParagraph"/>
        <w:numPr>
          <w:ilvl w:val="0"/>
          <w:numId w:val="2"/>
        </w:numPr>
        <w:spacing w:after="60" w:before="60"/>
      </w:pPr>
      <w:r>
        <w:rPr>
          <w:rFonts w:ascii="Arial" w:cs="Arial" w:eastAsia="Arial" w:hAnsi="Arial"/>
          <w:b w:val="false"/>
          <w:bCs w:val="false"/>
          <w:color w:val="1A1A1A"/>
          <w:sz w:val="22"/>
          <w:szCs w:val="22"/>
        </w:rPr>
        <w:t xml:space="preserve">Portfolio audit swarm — build the leaderboard view and per-find submission interface (underwriter side)</w:t>
      </w:r>
    </w:p>
    <w:p>
      <w:pPr>
        <w:pStyle w:val="ListParagraph"/>
        <w:numPr>
          <w:ilvl w:val="0"/>
          <w:numId w:val="2"/>
        </w:numPr>
        <w:spacing w:after="60" w:before="60"/>
      </w:pPr>
      <w:r>
        <w:rPr>
          <w:rFonts w:ascii="Arial" w:cs="Arial" w:eastAsia="Arial" w:hAnsi="Arial"/>
          <w:b w:val="false"/>
          <w:bCs w:val="false"/>
          <w:color w:val="1A1A1A"/>
          <w:sz w:val="22"/>
          <w:szCs w:val="22"/>
        </w:rPr>
        <w:t xml:space="preserve">Revenue dashboard — admin view querying revenue_events for gross volume, fees collected, and tier breakdown</w:t>
      </w:r>
    </w:p>
    <w:p>
      <w:pPr>
        <w:pStyle w:val="ListParagraph"/>
        <w:numPr>
          <w:ilvl w:val="0"/>
          <w:numId w:val="2"/>
        </w:numPr>
        <w:spacing w:after="60" w:before="60"/>
      </w:pPr>
      <w:r>
        <w:rPr>
          <w:rFonts w:ascii="Arial" w:cs="Arial" w:eastAsia="Arial" w:hAnsi="Arial"/>
          <w:b w:val="false"/>
          <w:bCs w:val="false"/>
          <w:color w:val="1A1A1A"/>
          <w:sz w:val="22"/>
          <w:szCs w:val="22"/>
        </w:rPr>
        <w:t xml:space="preserve">Partner outreach — initiate contact with The Institutes using the email template in the outreach framework doc</w:t>
      </w:r>
    </w:p>
    <w:p>
      <w:pPr>
        <w:pStyle w:val="ListParagraph"/>
        <w:numPr>
          <w:ilvl w:val="0"/>
          <w:numId w:val="2"/>
        </w:numPr>
        <w:spacing w:after="60" w:before="60"/>
      </w:pPr>
      <w:r>
        <w:rPr>
          <w:rFonts w:ascii="Arial" w:cs="Arial" w:eastAsia="Arial" w:hAnsi="Arial"/>
          <w:b w:val="false"/>
          <w:bCs w:val="false"/>
          <w:color w:val="1A1A1A"/>
          <w:sz w:val="22"/>
          <w:szCs w:val="22"/>
        </w:rPr>
        <w:t xml:space="preserve">Assessment platform MVP — first text-only underwriting case with scoring rubric, targeting carrier HR</w:t>
      </w:r>
    </w:p>
    <w:p>
      <w:pPr>
        <w:spacing w:after="160" w:before="0"/>
      </w:pPr>
    </w:p>
    <w:p>
      <w:pPr>
        <w:pBdr>
          <w:bottom w:val="single" w:color="C8832A" w:sz="4" w:space="1"/>
        </w:pBdr>
        <w:spacing w:after="120" w:before="0"/>
      </w:pPr>
    </w:p>
    <w:p>
      <w:pPr>
        <w:spacing w:after="0" w:before="160"/>
        <w:jc w:val="center"/>
      </w:pPr>
      <w:r>
        <w:rPr>
          <w:rFonts w:ascii="Arial" w:cs="Arial" w:eastAsia="Arial" w:hAnsi="Arial"/>
          <w:color w:val="666666"/>
          <w:sz w:val="18"/>
          <w:szCs w:val="18"/>
        </w:rPr>
        <w:t xml:space="preserve">DUG — Decentralized Underwriting Group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9BE" w:sz="4" w:space="1"/>
      </w:pBdr>
      <w:tabs>
        <w:tab w:val="right" w:pos="9360"/>
      </w:tabs>
      <w:spacing w:after="0" w:before="120"/>
    </w:pPr>
    <w:r>
      <w:rPr>
        <w:rFonts w:ascii="Arial" w:cs="Arial" w:eastAsia="Arial" w:hAnsi="Arial"/>
        <w:color w:val="666666"/>
        <w:sz w:val="18"/>
        <w:szCs w:val="18"/>
      </w:rPr>
      <w:t xml:space="preserve">Confidential — prepared for Ben Volkmer</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C9BE" w:sz="4" w:space="1"/>
      </w:pBdr>
      <w:tabs>
        <w:tab w:val="right" w:pos="9360"/>
      </w:tabs>
      <w:spacing w:after="120" w:before="0"/>
    </w:pPr>
    <w:r>
      <w:rPr>
        <w:rFonts w:ascii="Arial" w:cs="Arial" w:eastAsia="Arial" w:hAnsi="Arial"/>
        <w:b/>
        <w:bCs/>
        <w:color w:val="6B4226"/>
        <w:sz w:val="18"/>
        <w:szCs w:val="18"/>
      </w:rPr>
      <w:t xml:space="preserve">DUG — Build Session Summary</w:t>
    </w:r>
    <w:r>
      <w:rPr>
        <w:rFonts w:ascii="Arial" w:cs="Arial" w:eastAsia="Arial" w:hAnsi="Arial"/>
        <w:color w:val="666666"/>
        <w:sz w:val="18"/>
        <w:szCs w:val="18"/>
      </w:rPr>
      <w:t xml:space="preserve">	May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6B4226"/>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e3m0mf29eowsdxde7xpj" Type="http://schemas.openxmlformats.org/officeDocument/2006/relationships/hyperlink" Target="https://decentralizedunderwritinggroup.netlify.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2026-05-05T04:07:34.852Z</dcterms:created>
  <dcterms:modified xsi:type="dcterms:W3CDTF">2026-05-05T04:07:34.854Z</dcterms:modified>
</cp:coreProperties>
</file>

<file path=docProps/custom.xml><?xml version="1.0" encoding="utf-8"?>
<Properties xmlns="http://schemas.openxmlformats.org/officeDocument/2006/custom-properties" xmlns:vt="http://schemas.openxmlformats.org/officeDocument/2006/docPropsVTypes"/>
</file>