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EDB" w:sz="1"/>
              <w:left w:val="single" w:color="1B4EDB" w:sz="24"/>
              <w:bottom w:val="single" w:color="1B4EDB" w:sz="1"/>
              <w:right w:val="none" w:color="FFFFFF" w:sz="0"/>
            </w:tcBorders>
            <w:shd w:fill="E8EDF8" w:val="clear"/>
            <w:tcMar>
              <w:top w:type="dxa" w:w="480"/>
              <w:left w:type="dxa" w:w="480"/>
              <w:bottom w:type="dxa" w:w="480"/>
              <w:right w:type="dxa" w:w="480"/>
            </w:tcMar>
          </w:tcPr>
          <w:p>
            <w:pPr>
              <w:spacing w:after="80"/>
            </w:pPr>
            <w:r>
              <w:rPr>
                <w:rFonts w:ascii="Arial" w:cs="Arial" w:eastAsia="Arial" w:hAnsi="Arial"/>
                <w:b/>
                <w:bCs/>
                <w:caps/>
                <w:color w:val="1B4EDB"/>
                <w:sz w:val="20"/>
                <w:szCs w:val="20"/>
              </w:rPr>
              <w:t xml:space="preserve">PROJECT SCAFFOLDING BRIEF</w:t>
            </w:r>
          </w:p>
          <w:p>
            <w:pPr>
              <w:spacing w:after="160"/>
            </w:pPr>
            <w:r>
              <w:rPr>
                <w:rFonts w:ascii="Arial" w:cs="Arial" w:eastAsia="Arial" w:hAnsi="Arial"/>
                <w:b/>
                <w:bCs/>
                <w:color w:val="0D1F3D"/>
                <w:sz w:val="44"/>
                <w:szCs w:val="44"/>
              </w:rPr>
              <w:t xml:space="preserve">DUG — Decentralized Underwriting Group</w:t>
            </w:r>
          </w:p>
          <w:p>
            <w:pPr>
              <w:spacing w:after="80"/>
            </w:pPr>
            <w:r>
              <w:rPr>
                <w:rFonts w:ascii="Arial" w:cs="Arial" w:eastAsia="Arial" w:hAnsi="Arial"/>
                <w:color w:val="6B7280"/>
                <w:sz w:val="24"/>
                <w:szCs w:val="24"/>
              </w:rPr>
              <w:t xml:space="preserve">MVP Scaffolding Delivery — May 2026</w:t>
            </w:r>
          </w:p>
          <w:p>
            <w:r>
              <w:rPr>
                <w:rFonts w:ascii="Arial" w:cs="Arial" w:eastAsia="Arial" w:hAnsi="Arial"/>
                <w:color w:val="6B7280"/>
                <w:sz w:val="20"/>
                <w:szCs w:val="20"/>
              </w:rPr>
              <w:t xml:space="preserve">Full-stack Next.js platform • Supabase Postgres + Auth • Deployed on Netlify</w:t>
            </w:r>
          </w:p>
        </w:tc>
      </w:tr>
    </w:tbl>
    <w:p>
      <w:pPr>
        <w:spacing w:after="4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200"/>
      </w:tblGrid>
      <w:tr>
        <w:tc>
          <w:tcPr>
            <w:tcW w:type="dxa" w:w="3080"/>
            <w:tcBorders>
              <w:top w:val="none" w:color="FFFFFF" w:sz="0"/>
              <w:left w:val="none" w:color="FFFFFF" w:sz="0"/>
              <w:bottom w:val="none" w:color="FFFFFF" w:sz="0"/>
              <w:right w:val="none" w:color="FFFFFF" w:sz="0"/>
            </w:tcBorders>
            <w:shd w:fill="0D1F3D" w:val="clear"/>
            <w:tcMar>
              <w:top w:type="dxa" w:w="200"/>
              <w:left w:type="dxa" w:w="200"/>
              <w:bottom w:type="dxa" w:w="200"/>
              <w:right w:type="dxa" w:w="200"/>
            </w:tcMar>
          </w:tcPr>
          <w:p>
            <w:pPr>
              <w:jc w:val="center"/>
            </w:pPr>
            <w:r>
              <w:rPr>
                <w:rFonts w:ascii="Arial" w:cs="Arial" w:eastAsia="Arial" w:hAnsi="Arial"/>
                <w:b/>
                <w:bCs/>
                <w:caps/>
                <w:color w:val="FFFFFF"/>
                <w:sz w:val="18"/>
                <w:szCs w:val="18"/>
              </w:rPr>
              <w:t xml:space="preserve">LIVE</w:t>
            </w:r>
          </w:p>
          <w:p>
            <w:pPr>
              <w:spacing w:after="60"/>
              <w:jc w:val="center"/>
            </w:pPr>
            <w:r>
              <w:rPr>
                <w:rFonts w:ascii="Arial" w:cs="Arial" w:eastAsia="Arial" w:hAnsi="Arial"/>
                <w:color w:val="A0AEC0"/>
                <w:sz w:val="20"/>
                <w:szCs w:val="20"/>
              </w:rPr>
              <w:t xml:space="preserve">Status</w:t>
            </w:r>
          </w:p>
          <w:p>
            <w:pPr>
              <w:jc w:val="center"/>
            </w:pPr>
            <w:r>
              <w:rPr>
                <w:rFonts w:ascii="Arial" w:cs="Arial" w:eastAsia="Arial" w:hAnsi="Arial"/>
                <w:b/>
                <w:bCs/>
                <w:color w:val="FFFFFF"/>
                <w:sz w:val="22"/>
                <w:szCs w:val="22"/>
              </w:rPr>
              <w:t xml:space="preserve">MVP Sandbox</w:t>
            </w:r>
          </w:p>
        </w:tc>
        <w:tc>
          <w:tcPr>
            <w:tcW w:type="dxa" w:w="3080"/>
            <w:tcBorders>
              <w:top w:val="none" w:color="FFFFFF" w:sz="0"/>
              <w:left w:val="none" w:color="FFFFFF" w:sz="0"/>
              <w:bottom w:val="none" w:color="FFFFFF" w:sz="0"/>
              <w:right w:val="none" w:color="FFFFFF" w:sz="0"/>
            </w:tcBorders>
            <w:shd w:fill="1B4EDB" w:val="clear"/>
            <w:tcMar>
              <w:top w:type="dxa" w:w="200"/>
              <w:left w:type="dxa" w:w="200"/>
              <w:bottom w:type="dxa" w:w="200"/>
              <w:right w:type="dxa" w:w="200"/>
            </w:tcMar>
          </w:tcPr>
          <w:p>
            <w:pPr>
              <w:jc w:val="center"/>
            </w:pPr>
            <w:r>
              <w:rPr>
                <w:rFonts w:ascii="Arial" w:cs="Arial" w:eastAsia="Arial" w:hAnsi="Arial"/>
                <w:b/>
                <w:bCs/>
                <w:color w:val="FFFFFF"/>
                <w:sz w:val="36"/>
                <w:szCs w:val="36"/>
              </w:rPr>
              <w:t xml:space="preserve">12</w:t>
            </w:r>
          </w:p>
          <w:p>
            <w:pPr>
              <w:jc w:val="center"/>
            </w:pPr>
            <w:r>
              <w:rPr>
                <w:rFonts w:ascii="Arial" w:cs="Arial" w:eastAsia="Arial" w:hAnsi="Arial"/>
                <w:color w:val="D0D9FF"/>
                <w:sz w:val="20"/>
                <w:szCs w:val="20"/>
              </w:rPr>
              <w:t xml:space="preserve">Pages / Routes Built</w:t>
            </w:r>
          </w:p>
        </w:tc>
        <w:tc>
          <w:tcPr>
            <w:tcW w:type="dxa" w:w="3200"/>
            <w:tcBorders>
              <w:top w:val="none" w:color="FFFFFF" w:sz="0"/>
              <w:left w:val="none" w:color="FFFFFF" w:sz="0"/>
              <w:bottom w:val="none" w:color="FFFFFF" w:sz="0"/>
              <w:right w:val="none" w:color="FFFFFF" w:sz="0"/>
            </w:tcBorders>
            <w:shd w:fill="1A3570" w:val="clear"/>
            <w:tcMar>
              <w:top w:type="dxa" w:w="200"/>
              <w:left w:type="dxa" w:w="200"/>
              <w:bottom w:type="dxa" w:w="200"/>
              <w:right w:type="dxa" w:w="200"/>
            </w:tcMar>
          </w:tcPr>
          <w:p>
            <w:pPr>
              <w:jc w:val="center"/>
            </w:pPr>
            <w:r>
              <w:rPr>
                <w:rFonts w:ascii="Arial" w:cs="Arial" w:eastAsia="Arial" w:hAnsi="Arial"/>
                <w:b/>
                <w:bCs/>
                <w:color w:val="FFFFFF"/>
                <w:sz w:val="36"/>
                <w:szCs w:val="36"/>
              </w:rPr>
              <w:t xml:space="preserve">6</w:t>
            </w:r>
          </w:p>
          <w:p>
            <w:pPr>
              <w:jc w:val="center"/>
            </w:pPr>
            <w:r>
              <w:rPr>
                <w:rFonts w:ascii="Arial" w:cs="Arial" w:eastAsia="Arial" w:hAnsi="Arial"/>
                <w:color w:val="A0AEC0"/>
                <w:sz w:val="20"/>
                <w:szCs w:val="20"/>
              </w:rPr>
              <w:t xml:space="preserve">Database Tables + RLS</w:t>
            </w:r>
          </w:p>
        </w:tc>
      </w:tr>
    </w:tbl>
    <w:p>
      <w:pPr>
        <w:spacing w:after="480" w:before="0"/>
      </w:pPr>
      <w:r>
        <w:t xml:space="preserve"/>
      </w:r>
    </w:p>
    <w:p>
      <w:pPr>
        <w:spacing w:after="60"/>
      </w:pPr>
      <w:r>
        <w:rPr>
          <w:rFonts w:ascii="Arial" w:cs="Arial" w:eastAsia="Arial" w:hAnsi="Arial"/>
          <w:color w:val="6B7280"/>
          <w:sz w:val="19"/>
          <w:szCs w:val="19"/>
        </w:rPr>
        <w:t xml:space="preserve">Prepared by: Jimmy Cannon • DUG Project</w:t>
      </w:r>
    </w:p>
    <w:p>
      <w:hyperlink w:history="1" r:id="rIdlwvrsuf52gq9lignfzduw">
        <w:r>
          <w:rPr>
            <w:rFonts w:ascii="Arial" w:cs="Arial" w:eastAsia="Arial" w:hAnsi="Arial"/>
            <w:color w:val="1B4EDB"/>
            <w:sz w:val="19"/>
            <w:szCs w:val="19"/>
            <w:u w:val="single"/>
          </w:rPr>
          <w:t xml:space="preserve">decentralizedunderwritinggroup.netlify.app</w:t>
        </w:r>
      </w:hyperlink>
    </w:p>
    <w:p>
      <w:r>
        <w:br w:type="page"/>
      </w:r>
    </w:p>
    <w:p>
      <w:pPr>
        <w:pStyle w:val="Heading1"/>
        <w:spacing w:after="160" w:before="360"/>
      </w:pPr>
      <w:r>
        <w:rPr>
          <w:rFonts w:ascii="Arial" w:cs="Arial" w:eastAsia="Arial" w:hAnsi="Arial"/>
          <w:b/>
          <w:bCs/>
          <w:color w:val="0D1F3D"/>
          <w:sz w:val="32"/>
          <w:szCs w:val="32"/>
        </w:rPr>
        <w:t xml:space="preserve">1. Project Overview</w:t>
      </w:r>
    </w:p>
    <w:p>
      <w:pPr>
        <w:spacing w:after="100" w:before="60"/>
      </w:pPr>
      <w:r>
        <w:rPr>
          <w:rFonts w:ascii="Arial" w:cs="Arial" w:eastAsia="Arial" w:hAnsi="Arial"/>
          <w:b w:val="false"/>
          <w:bCs w:val="false"/>
          <w:color w:val="1A1A2E"/>
          <w:sz w:val="22"/>
          <w:szCs w:val="22"/>
        </w:rPr>
        <w:t xml:space="preserve">DUG (Decentralized Underwriting Group) is a consulting marketplace for independent underwriters. The core concept is GitHub × Reddit × Uber — built specifically for risk experts who want to work on their own terms.</w:t>
      </w:r>
    </w:p>
    <w:p>
      <w:pPr>
        <w:spacing w:after="80" w:before="0"/>
      </w:pPr>
      <w:r>
        <w:t xml:space="preserve"/>
      </w:r>
    </w:p>
    <w:p>
      <w:pPr>
        <w:spacing w:after="100" w:before="60"/>
      </w:pPr>
      <w:r>
        <w:rPr>
          <w:rFonts w:ascii="Arial" w:cs="Arial" w:eastAsia="Arial" w:hAnsi="Arial"/>
          <w:b w:val="false"/>
          <w:bCs w:val="false"/>
          <w:color w:val="1A1A2E"/>
          <w:sz w:val="22"/>
          <w:szCs w:val="22"/>
        </w:rPr>
        <w:t xml:space="preserve">The platform enables three things simultaneously:</w:t>
      </w:r>
    </w:p>
    <w:p>
      <w:pPr>
        <w:pStyle w:val="ListParagraph"/>
        <w:numPr>
          <w:ilvl w:val="0"/>
          <w:numId w:val="2"/>
        </w:numPr>
        <w:spacing w:after="60" w:before="40"/>
      </w:pPr>
      <w:r>
        <w:rPr>
          <w:rFonts w:ascii="Arial" w:cs="Arial" w:eastAsia="Arial" w:hAnsi="Arial"/>
          <w:color w:val="1A1A2E"/>
          <w:sz w:val="22"/>
          <w:szCs w:val="22"/>
        </w:rPr>
        <w:t xml:space="preserve">Independent underwriters can find consulting work, submit structured analyses, and build a public reputation over time.</w:t>
      </w:r>
    </w:p>
    <w:p>
      <w:pPr>
        <w:pStyle w:val="ListParagraph"/>
        <w:numPr>
          <w:ilvl w:val="0"/>
          <w:numId w:val="2"/>
        </w:numPr>
        <w:spacing w:after="60" w:before="40"/>
      </w:pPr>
      <w:r>
        <w:rPr>
          <w:rFonts w:ascii="Arial" w:cs="Arial" w:eastAsia="Arial" w:hAnsi="Arial"/>
          <w:color w:val="1A1A2E"/>
          <w:sz w:val="22"/>
          <w:szCs w:val="22"/>
        </w:rPr>
        <w:t xml:space="preserve">Carriers, MGAs, and other risk buyers can post jobs — second looks, renewal reviews, audits, program design work — and receive expert opinions without hiring full-time staff.</w:t>
      </w:r>
    </w:p>
    <w:p>
      <w:pPr>
        <w:pStyle w:val="ListParagraph"/>
        <w:numPr>
          <w:ilvl w:val="0"/>
          <w:numId w:val="2"/>
        </w:numPr>
        <w:spacing w:after="60" w:before="40"/>
      </w:pPr>
      <w:r>
        <w:rPr>
          <w:rFonts w:ascii="Arial" w:cs="Arial" w:eastAsia="Arial" w:hAnsi="Arial"/>
          <w:color w:val="1A1A2E"/>
          <w:sz w:val="22"/>
          <w:szCs w:val="22"/>
        </w:rPr>
        <w:t xml:space="preserve">Underwriters who are between jobs, semi-retired, caregiving, or simply looking for more reps get a path the traditional W2 structure doesn’t offer.</w:t>
      </w:r>
    </w:p>
    <w:p>
      <w:pPr>
        <w:spacing w:after="120" w:before="0"/>
      </w:pPr>
      <w:r>
        <w:t xml:space="preserve"/>
      </w:r>
    </w:p>
    <w:p>
      <w:pPr>
        <w:spacing w:after="80" w:before="200"/>
      </w:pPr>
      <w:r>
        <w:rPr>
          <w:rFonts w:ascii="Arial" w:cs="Arial" w:eastAsia="Arial" w:hAnsi="Arial"/>
          <w:b/>
          <w:bCs/>
          <w:color w:val="0D1F3D"/>
          <w:sz w:val="22"/>
          <w:szCs w:val="22"/>
        </w:rPr>
        <w:t xml:space="preserve">The Regulatory Red Line</w:t>
      </w:r>
    </w:p>
    <w:p>
      <w:pPr>
        <w:spacing w:after="100" w:before="60"/>
      </w:pPr>
      <w:r>
        <w:rPr>
          <w:rFonts w:ascii="Arial" w:cs="Arial" w:eastAsia="Arial" w:hAnsi="Arial"/>
          <w:b w:val="false"/>
          <w:bCs w:val="false"/>
          <w:color w:val="1A1A2E"/>
          <w:sz w:val="22"/>
          <w:szCs w:val="22"/>
        </w:rPr>
        <w:t xml:space="preserve">The platform is advisory-only. No user ever binds coverage through DUG. Every submission is a recommendation — approve, decline, quote with modifications, or request more info. The poster makes the binding decision independently. This is a deliberate architectural choice that keeps the platform compliant without requiring licensed brokerage infrastructure.</w:t>
      </w:r>
    </w:p>
    <w:p>
      <w:pPr>
        <w:spacing w:after="80" w:before="0"/>
      </w:pPr>
      <w:r>
        <w:t xml:space="preserve"/>
      </w:r>
    </w:p>
    <w:p>
      <w:pPr>
        <w:spacing w:after="80" w:before="200"/>
      </w:pPr>
      <w:r>
        <w:rPr>
          <w:rFonts w:ascii="Arial" w:cs="Arial" w:eastAsia="Arial" w:hAnsi="Arial"/>
          <w:b/>
          <w:bCs/>
          <w:color w:val="0D1F3D"/>
          <w:sz w:val="22"/>
          <w:szCs w:val="22"/>
        </w:rPr>
        <w:t xml:space="preserve">Target Archetypes</w:t>
      </w:r>
    </w:p>
    <w:p>
      <w:pPr>
        <w:pStyle w:val="ListParagraph"/>
        <w:numPr>
          <w:ilvl w:val="0"/>
          <w:numId w:val="2"/>
        </w:numPr>
        <w:spacing w:after="60" w:before="40"/>
      </w:pPr>
      <w:r>
        <w:rPr>
          <w:rFonts w:ascii="Arial" w:cs="Arial" w:eastAsia="Arial" w:hAnsi="Arial"/>
          <w:color w:val="1A1A2E"/>
          <w:sz w:val="22"/>
          <w:szCs w:val="22"/>
        </w:rPr>
        <w:t xml:space="preserve">Between jobs — bridging income during transitions</w:t>
      </w:r>
    </w:p>
    <w:p>
      <w:pPr>
        <w:pStyle w:val="ListParagraph"/>
        <w:numPr>
          <w:ilvl w:val="0"/>
          <w:numId w:val="2"/>
        </w:numPr>
        <w:spacing w:after="60" w:before="40"/>
      </w:pPr>
      <w:r>
        <w:rPr>
          <w:rFonts w:ascii="Arial" w:cs="Arial" w:eastAsia="Arial" w:hAnsi="Arial"/>
          <w:color w:val="1A1A2E"/>
          <w:sz w:val="22"/>
          <w:szCs w:val="22"/>
        </w:rPr>
        <w:t xml:space="preserve">Employed but bored — side reps to grow expertise and optionality</w:t>
      </w:r>
    </w:p>
    <w:p>
      <w:pPr>
        <w:pStyle w:val="ListParagraph"/>
        <w:numPr>
          <w:ilvl w:val="0"/>
          <w:numId w:val="2"/>
        </w:numPr>
        <w:spacing w:after="60" w:before="40"/>
      </w:pPr>
      <w:r>
        <w:rPr>
          <w:rFonts w:ascii="Arial" w:cs="Arial" w:eastAsia="Arial" w:hAnsi="Arial"/>
          <w:color w:val="1A1A2E"/>
          <w:sz w:val="22"/>
          <w:szCs w:val="22"/>
        </w:rPr>
        <w:t xml:space="preserve">Want to learn faster — see 10× more risks across more lines</w:t>
      </w:r>
    </w:p>
    <w:p>
      <w:pPr>
        <w:pStyle w:val="ListParagraph"/>
        <w:numPr>
          <w:ilvl w:val="0"/>
          <w:numId w:val="2"/>
        </w:numPr>
        <w:spacing w:after="60" w:before="40"/>
      </w:pPr>
      <w:r>
        <w:rPr>
          <w:rFonts w:ascii="Arial" w:cs="Arial" w:eastAsia="Arial" w:hAnsi="Arial"/>
          <w:color w:val="1A1A2E"/>
          <w:sz w:val="22"/>
          <w:szCs w:val="22"/>
        </w:rPr>
        <w:t xml:space="preserve">Retired or semi-retired — stay sharp on their own schedule</w:t>
      </w:r>
    </w:p>
    <w:p>
      <w:pPr>
        <w:pStyle w:val="ListParagraph"/>
        <w:numPr>
          <w:ilvl w:val="0"/>
          <w:numId w:val="2"/>
        </w:numPr>
        <w:spacing w:after="60" w:before="40"/>
      </w:pPr>
      <w:r>
        <w:rPr>
          <w:rFonts w:ascii="Arial" w:cs="Arial" w:eastAsia="Arial" w:hAnsi="Arial"/>
          <w:color w:val="1A1A2E"/>
          <w:sz w:val="22"/>
          <w:szCs w:val="22"/>
        </w:rPr>
        <w:t xml:space="preserve">Caregivers — real underwriting work that fits real life</w:t>
      </w:r>
    </w:p>
    <w:p>
      <w:pPr>
        <w:pStyle w:val="ListParagraph"/>
        <w:numPr>
          <w:ilvl w:val="0"/>
          <w:numId w:val="2"/>
        </w:numPr>
        <w:spacing w:after="60" w:before="40"/>
      </w:pPr>
      <w:r>
        <w:rPr>
          <w:rFonts w:ascii="Arial" w:cs="Arial" w:eastAsia="Arial" w:hAnsi="Arial"/>
          <w:color w:val="1A1A2E"/>
          <w:sz w:val="22"/>
          <w:szCs w:val="22"/>
        </w:rPr>
        <w:t xml:space="preserve">Entrepreneurs — building a portfolio that becomes a business</w:t>
      </w:r>
    </w:p>
    <w:p>
      <w:pPr>
        <w:spacing w:after="80" w:before="0"/>
      </w:pPr>
      <w:r>
        <w:t xml:space="preserve"/>
      </w:r>
    </w:p>
    <w:p>
      <w:pPr>
        <w:pBdr>
          <w:bottom w:val="single" w:color="C5D2F0" w:sz="4" w:space="1"/>
        </w:pBdr>
        <w:spacing w:after="160" w:before="160"/>
      </w:pPr>
      <w:r>
        <w:t xml:space="preserve"/>
      </w:r>
    </w:p>
    <w:p>
      <w:pPr>
        <w:pStyle w:val="Heading1"/>
        <w:spacing w:after="160" w:before="360"/>
      </w:pPr>
      <w:r>
        <w:rPr>
          <w:rFonts w:ascii="Arial" w:cs="Arial" w:eastAsia="Arial" w:hAnsi="Arial"/>
          <w:b/>
          <w:bCs/>
          <w:color w:val="0D1F3D"/>
          <w:sz w:val="32"/>
          <w:szCs w:val="32"/>
        </w:rPr>
        <w:t xml:space="preserve">2. Live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B4EDB" w:sz="1"/>
              <w:left w:val="single" w:color="D0D5E8" w:sz="1"/>
              <w:bottom w:val="single" w:color="D0D5E8" w:sz="1"/>
              <w:right w:val="single" w:color="D0D5E8" w:sz="1"/>
            </w:tcBorders>
            <w:shd w:fill="F5F6FA" w:val="clear"/>
            <w:tcMar>
              <w:top w:type="dxa" w:w="100"/>
              <w:left w:type="dxa" w:w="160"/>
              <w:bottom w:type="dxa" w:w="80"/>
              <w:right w:type="dxa" w:w="160"/>
            </w:tcMar>
          </w:tcPr>
          <w:p>
            <w:r>
              <w:rPr>
                <w:rFonts w:ascii="Arial" w:cs="Arial" w:eastAsia="Arial" w:hAnsi="Arial"/>
                <w:b/>
                <w:bCs/>
                <w:color w:val="0D1F3D"/>
                <w:sz w:val="22"/>
                <w:szCs w:val="22"/>
              </w:rPr>
              <w:t xml:space="preserve">Deployment</w:t>
            </w:r>
          </w:p>
        </w:tc>
      </w:tr>
      <w:tr>
        <w:tc>
          <w:tcPr>
            <w:tcBorders>
              <w:top w:val="none" w:color="FFFFFF" w:sz="0"/>
              <w:left w:val="single" w:color="D0D5E8" w:sz="1"/>
              <w:bottom w:val="single" w:color="D0D5E8" w:sz="1"/>
              <w:right w:val="single" w:color="D0D5E8"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Platform:  </w:t>
            </w:r>
            <w:r>
              <w:rPr>
                <w:rFonts w:ascii="Arial" w:cs="Arial" w:eastAsia="Arial" w:hAnsi="Arial"/>
                <w:color w:val="6B7280"/>
                <w:sz w:val="20"/>
                <w:szCs w:val="20"/>
              </w:rPr>
              <w:t xml:space="preserve">Netlify (auto-deploy from GitHub main branch)</w:t>
            </w:r>
          </w:p>
        </w:tc>
      </w:tr>
      <w:tr>
        <w:tc>
          <w:tcPr>
            <w:tcBorders>
              <w:top w:val="none" w:color="FFFFFF" w:sz="0"/>
              <w:left w:val="single" w:color="D0D5E8" w:sz="1"/>
              <w:bottom w:val="single" w:color="D0D5E8" w:sz="1"/>
              <w:right w:val="single" w:color="D0D5E8"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Live URL:  </w:t>
            </w:r>
            <w:r>
              <w:rPr>
                <w:rFonts w:ascii="Arial" w:cs="Arial" w:eastAsia="Arial" w:hAnsi="Arial"/>
                <w:color w:val="6B7280"/>
                <w:sz w:val="20"/>
                <w:szCs w:val="20"/>
              </w:rPr>
              <w:t xml:space="preserve">decentralizedunderwritinggroup.netlify.app</w:t>
            </w:r>
          </w:p>
        </w:tc>
      </w:tr>
      <w:tr>
        <w:tc>
          <w:tcPr>
            <w:tcBorders>
              <w:top w:val="none" w:color="FFFFFF" w:sz="0"/>
              <w:left w:val="single" w:color="D0D5E8" w:sz="1"/>
              <w:bottom w:val="single" w:color="D0D5E8" w:sz="1"/>
              <w:right w:val="single" w:color="D0D5E8"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GitHub Repo:  </w:t>
            </w:r>
            <w:r>
              <w:rPr>
                <w:rFonts w:ascii="Arial" w:cs="Arial" w:eastAsia="Arial" w:hAnsi="Arial"/>
                <w:color w:val="6B7280"/>
                <w:sz w:val="20"/>
                <w:szCs w:val="20"/>
              </w:rPr>
              <w:t xml:space="preserve">github.com/TheJimmyJam/DUG</w:t>
            </w:r>
          </w:p>
        </w:tc>
      </w:tr>
      <w:tr>
        <w:tc>
          <w:tcPr>
            <w:tcBorders>
              <w:top w:val="none" w:color="FFFFFF" w:sz="0"/>
              <w:left w:val="single" w:color="D0D5E8" w:sz="1"/>
              <w:bottom w:val="single" w:color="D0D5E8" w:sz="1"/>
              <w:right w:val="single" w:color="D0D5E8"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Database:  </w:t>
            </w:r>
            <w:r>
              <w:rPr>
                <w:rFonts w:ascii="Arial" w:cs="Arial" w:eastAsia="Arial" w:hAnsi="Arial"/>
                <w:color w:val="6B7280"/>
                <w:sz w:val="20"/>
                <w:szCs w:val="20"/>
              </w:rPr>
              <w:t xml:space="preserve">Supabase (scyzkauondjjduuzkonf.supabase.co)</w:t>
            </w:r>
          </w:p>
        </w:tc>
      </w:tr>
      <w:tr>
        <w:tc>
          <w:tcPr>
            <w:tcBorders>
              <w:top w:val="none" w:color="FFFFFF" w:sz="0"/>
              <w:left w:val="single" w:color="D0D5E8" w:sz="1"/>
              <w:bottom w:val="single" w:color="D0D5E8" w:sz="1"/>
              <w:right w:val="single" w:color="D0D5E8"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Status:  </w:t>
            </w:r>
            <w:r>
              <w:rPr>
                <w:rFonts w:ascii="Arial" w:cs="Arial" w:eastAsia="Arial" w:hAnsi="Arial"/>
                <w:color w:val="6B7280"/>
                <w:sz w:val="20"/>
                <w:szCs w:val="20"/>
              </w:rPr>
              <w:t xml:space="preserve">MVP sandbox live — seeded with 10 demo profiles + 11 jobs</w:t>
            </w:r>
          </w:p>
        </w:tc>
      </w:tr>
    </w:tbl>
    <w:p>
      <w:pPr>
        <w:spacing w:after="160" w:before="0"/>
      </w:pPr>
      <w:r>
        <w:t xml:space="preserve"/>
      </w:r>
    </w:p>
    <w:p>
      <w:pPr>
        <w:spacing w:after="100" w:before="60"/>
      </w:pPr>
      <w:r>
        <w:rPr>
          <w:rFonts w:ascii="Arial" w:cs="Arial" w:eastAsia="Arial" w:hAnsi="Arial"/>
          <w:b w:val="false"/>
          <w:bCs w:val="false"/>
          <w:color w:val="1A1A2E"/>
          <w:sz w:val="22"/>
          <w:szCs w:val="22"/>
        </w:rPr>
        <w:t xml:space="preserve">The sandbox is open to anonymous visitors. Anyone can browse the job board and underwriter directory without signing up. Authentication is required only for posting jobs, claiming work, submitting analyses, and accessing the dashboard.</w:t>
      </w:r>
    </w:p>
    <w:p>
      <w:pPr>
        <w:spacing w:after="80" w:before="0"/>
      </w:pPr>
      <w:r>
        <w:t xml:space="preserve"/>
      </w:r>
    </w:p>
    <w:p>
      <w:pPr>
        <w:spacing w:after="80" w:before="200"/>
      </w:pPr>
      <w:r>
        <w:rPr>
          <w:rFonts w:ascii="Arial" w:cs="Arial" w:eastAsia="Arial" w:hAnsi="Arial"/>
          <w:b/>
          <w:bCs/>
          <w:color w:val="0D1F3D"/>
          <w:sz w:val="22"/>
          <w:szCs w:val="22"/>
        </w:rPr>
        <w:t xml:space="preserve">Demo Accounts</w:t>
      </w:r>
    </w:p>
    <w:p>
      <w:pPr>
        <w:spacing w:after="100" w:before="60"/>
      </w:pPr>
      <w:r>
        <w:rPr>
          <w:rFonts w:ascii="Arial" w:cs="Arial" w:eastAsia="Arial" w:hAnsi="Arial"/>
          <w:b w:val="false"/>
          <w:bCs w:val="false"/>
          <w:color w:val="1A1A2E"/>
          <w:sz w:val="22"/>
          <w:szCs w:val="22"/>
        </w:rPr>
        <w:t xml:space="preserve">The following accounts are pre-seeded and ready for client demos. Password for all: DemoUW2026!</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D0D5E8" w:sz="1"/>
              <w:left w:val="single" w:color="D0D5E8" w:sz="1"/>
              <w:bottom w:val="single" w:color="D0D5E8" w:sz="1"/>
              <w:right w:val="single" w:color="D0D5E8" w:sz="1"/>
            </w:tcBorders>
            <w:shd w:fill="0D1F3D"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2160"/>
            <w:tcBorders>
              <w:top w:val="single" w:color="D0D5E8" w:sz="1"/>
              <w:left w:val="single" w:color="D0D5E8" w:sz="1"/>
              <w:bottom w:val="single" w:color="D0D5E8" w:sz="1"/>
              <w:right w:val="single" w:color="D0D5E8" w:sz="1"/>
            </w:tcBorders>
            <w:shd w:fill="0D1F3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600"/>
            <w:tcBorders>
              <w:top w:val="single" w:color="D0D5E8" w:sz="1"/>
              <w:left w:val="single" w:color="D0D5E8" w:sz="1"/>
              <w:bottom w:val="single" w:color="D0D5E8" w:sz="1"/>
              <w:right w:val="single" w:color="D0D5E8" w:sz="1"/>
            </w:tcBorders>
            <w:shd w:fill="0D1F3D" w:val="clear"/>
            <w:tcMar>
              <w:top w:type="dxa" w:w="80"/>
              <w:left w:type="dxa" w:w="120"/>
              <w:bottom w:type="dxa" w:w="80"/>
              <w:right w:type="dxa" w:w="120"/>
            </w:tcMar>
          </w:tcPr>
          <w:p>
            <w:r>
              <w:rPr>
                <w:rFonts w:ascii="Arial" w:cs="Arial" w:eastAsia="Arial" w:hAnsi="Arial"/>
                <w:b/>
                <w:bCs/>
                <w:color w:val="FFFFFF"/>
                <w:sz w:val="20"/>
                <w:szCs w:val="20"/>
              </w:rPr>
              <w:t xml:space="preserve">Specialties</w:t>
            </w:r>
          </w:p>
        </w:tc>
      </w:tr>
      <w:tr>
        <w:tc>
          <w:tcPr>
            <w:tcW w:type="dxa" w:w="3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Courier New" w:cs="Courier New" w:eastAsia="Courier New" w:hAnsi="Courier New"/>
                <w:color w:val="1B4EDB"/>
                <w:sz w:val="17"/>
                <w:szCs w:val="17"/>
              </w:rPr>
              <w:t xml:space="preserve">sarah.chen+demo@dug.example</w:t>
            </w:r>
          </w:p>
        </w:tc>
        <w:tc>
          <w:tcPr>
            <w:tcW w:type="dxa" w:w="21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Underwriter</w:t>
            </w:r>
          </w:p>
        </w:tc>
        <w:tc>
          <w:tcPr>
            <w:tcW w:type="dxa" w:w="3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6B7280"/>
                <w:sz w:val="19"/>
                <w:szCs w:val="19"/>
              </w:rPr>
              <w:t xml:space="preserve">Cyber, Professional Liability</w:t>
            </w:r>
          </w:p>
        </w:tc>
      </w:tr>
      <w:tr>
        <w:tc>
          <w:tcPr>
            <w:tcW w:type="dxa" w:w="36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Courier New" w:cs="Courier New" w:eastAsia="Courier New" w:hAnsi="Courier New"/>
                <w:color w:val="1B4EDB"/>
                <w:sz w:val="17"/>
                <w:szCs w:val="17"/>
              </w:rPr>
              <w:t xml:space="preserve">marcusrivera+demo@dug.example</w:t>
            </w:r>
          </w:p>
        </w:tc>
        <w:tc>
          <w:tcPr>
            <w:tcW w:type="dxa" w:w="216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1A1A2E"/>
                <w:sz w:val="19"/>
                <w:szCs w:val="19"/>
              </w:rPr>
              <w:t xml:space="preserve">Underwriter</w:t>
            </w:r>
          </w:p>
        </w:tc>
        <w:tc>
          <w:tcPr>
            <w:tcW w:type="dxa" w:w="36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6B7280"/>
                <w:sz w:val="19"/>
                <w:szCs w:val="19"/>
              </w:rPr>
              <w:t xml:space="preserve">CAT Property (retired)</w:t>
            </w:r>
          </w:p>
        </w:tc>
      </w:tr>
      <w:tr>
        <w:tc>
          <w:tcPr>
            <w:tcW w:type="dxa" w:w="3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Courier New" w:cs="Courier New" w:eastAsia="Courier New" w:hAnsi="Courier New"/>
                <w:color w:val="1B4EDB"/>
                <w:sz w:val="17"/>
                <w:szCs w:val="17"/>
              </w:rPr>
              <w:t xml:space="preserve">ben+demo@dug.example</w:t>
            </w:r>
          </w:p>
        </w:tc>
        <w:tc>
          <w:tcPr>
            <w:tcW w:type="dxa" w:w="21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Both (admin)</w:t>
            </w:r>
          </w:p>
        </w:tc>
        <w:tc>
          <w:tcPr>
            <w:tcW w:type="dxa" w:w="3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6B7280"/>
                <w:sz w:val="19"/>
                <w:szCs w:val="19"/>
              </w:rPr>
              <w:t xml:space="preserve">Multi-line, platform admin</w:t>
            </w:r>
          </w:p>
        </w:tc>
      </w:tr>
      <w:tr>
        <w:tc>
          <w:tcPr>
            <w:tcW w:type="dxa" w:w="36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Courier New" w:cs="Courier New" w:eastAsia="Courier New" w:hAnsi="Courier New"/>
                <w:color w:val="1B4EDB"/>
                <w:sz w:val="17"/>
                <w:szCs w:val="17"/>
              </w:rPr>
              <w:t xml:space="preserve">westpoint_mga+demo@dug.example</w:t>
            </w:r>
          </w:p>
        </w:tc>
        <w:tc>
          <w:tcPr>
            <w:tcW w:type="dxa" w:w="216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1A1A2E"/>
                <w:sz w:val="19"/>
                <w:szCs w:val="19"/>
              </w:rPr>
              <w:t xml:space="preserve">Poster only</w:t>
            </w:r>
          </w:p>
        </w:tc>
        <w:tc>
          <w:tcPr>
            <w:tcW w:type="dxa" w:w="36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6B7280"/>
                <w:sz w:val="19"/>
                <w:szCs w:val="19"/>
              </w:rPr>
              <w:t xml:space="preserve">Specialty MGA</w:t>
            </w:r>
          </w:p>
        </w:tc>
      </w:tr>
    </w:tbl>
    <w:p>
      <w:pPr>
        <w:spacing w:after="80" w:before="0"/>
      </w:pPr>
      <w:r>
        <w:t xml:space="preserve"/>
      </w:r>
    </w:p>
    <w:p>
      <w:pPr>
        <w:pBdr>
          <w:bottom w:val="single" w:color="C5D2F0" w:sz="4" w:space="1"/>
        </w:pBdr>
        <w:spacing w:after="160" w:before="160"/>
      </w:pPr>
      <w:r>
        <w:t xml:space="preserve"/>
      </w:r>
    </w:p>
    <w:p>
      <w:pPr>
        <w:pStyle w:val="Heading1"/>
        <w:spacing w:after="160" w:before="360"/>
      </w:pPr>
      <w:r>
        <w:rPr>
          <w:rFonts w:ascii="Arial" w:cs="Arial" w:eastAsia="Arial" w:hAnsi="Arial"/>
          <w:b/>
          <w:bCs/>
          <w:color w:val="0D1F3D"/>
          <w:sz w:val="32"/>
          <w:szCs w:val="32"/>
        </w:rPr>
        <w:t xml:space="preserve">3. Pages &amp; Features Built</w:t>
      </w:r>
    </w:p>
    <w:p>
      <w:pPr>
        <w:spacing w:after="100" w:before="60"/>
      </w:pPr>
      <w:r>
        <w:rPr>
          <w:rFonts w:ascii="Arial" w:cs="Arial" w:eastAsia="Arial" w:hAnsi="Arial"/>
          <w:b w:val="false"/>
          <w:bCs w:val="false"/>
          <w:color w:val="1A1A2E"/>
          <w:sz w:val="22"/>
          <w:szCs w:val="22"/>
        </w:rPr>
        <w:t xml:space="preserve">Every route listed below is fully functional in the live sandbox. The end-to-end flow — post a job → claim it → submit analysis → review and rate — works completely.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D0D5E8" w:sz="1"/>
              <w:left w:val="single" w:color="D0D5E8" w:sz="1"/>
              <w:bottom w:val="single" w:color="D0D5E8" w:sz="1"/>
              <w:right w:val="single" w:color="D0D5E8" w:sz="1"/>
            </w:tcBorders>
            <w:shd w:fill="0D1F3D"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760"/>
            <w:tcBorders>
              <w:top w:val="single" w:color="D0D5E8" w:sz="1"/>
              <w:left w:val="single" w:color="D0D5E8" w:sz="1"/>
              <w:bottom w:val="single" w:color="D0D5E8" w:sz="1"/>
              <w:right w:val="single" w:color="D0D5E8" w:sz="1"/>
            </w:tcBorders>
            <w:shd w:fill="0D1F3D" w:val="clear"/>
            <w:tcMar>
              <w:top w:type="dxa" w:w="80"/>
              <w:left w:type="dxa" w:w="120"/>
              <w:bottom w:type="dxa" w:w="80"/>
              <w:right w:type="dxa" w:w="120"/>
            </w:tcMar>
          </w:tcPr>
          <w:p>
            <w:r>
              <w:rPr>
                <w:rFonts w:ascii="Arial" w:cs="Arial" w:eastAsia="Arial" w:hAnsi="Arial"/>
                <w:b/>
                <w:bCs/>
                <w:color w:val="FFFFFF"/>
                <w:sz w:val="20"/>
                <w:szCs w:val="20"/>
              </w:rPr>
              <w:t xml:space="preserve">Page / Feature</w:t>
            </w:r>
          </w:p>
        </w:tc>
        <w:tc>
          <w:tcPr>
            <w:tcW w:type="dxa" w:w="2800"/>
            <w:tcBorders>
              <w:top w:val="single" w:color="D0D5E8" w:sz="1"/>
              <w:left w:val="single" w:color="D0D5E8" w:sz="1"/>
              <w:bottom w:val="single" w:color="D0D5E8" w:sz="1"/>
              <w:right w:val="single" w:color="D0D5E8" w:sz="1"/>
            </w:tcBorders>
            <w:shd w:fill="0D1F3D"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Courier New" w:cs="Courier New" w:eastAsia="Courier New" w:hAnsi="Courier New"/>
                <w:color w:val="1B4EDB"/>
                <w:sz w:val="18"/>
                <w:szCs w:val="18"/>
              </w:rPr>
              <w:t xml:space="preserve">/</w:t>
            </w:r>
          </w:p>
        </w:tc>
        <w:tc>
          <w:tcPr>
            <w:tcW w:type="dxa" w:w="37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Landing page — hero, three pillars, how-it-works, six archetypes, CTA</w:t>
            </w:r>
          </w:p>
        </w:tc>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2E7D32"/>
                <w:sz w:val="19"/>
                <w:szCs w:val="19"/>
              </w:rPr>
              <w:t xml:space="preserve">Public</w:t>
            </w:r>
          </w:p>
        </w:tc>
      </w:tr>
      <w:tr>
        <w:tc>
          <w:tcPr>
            <w:tcW w:type="dxa" w:w="28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Courier New" w:cs="Courier New" w:eastAsia="Courier New" w:hAnsi="Courier New"/>
                <w:color w:val="1B4EDB"/>
                <w:sz w:val="18"/>
                <w:szCs w:val="18"/>
              </w:rPr>
              <w:t xml:space="preserve">/jobs</w:t>
            </w:r>
          </w:p>
        </w:tc>
        <w:tc>
          <w:tcPr>
            <w:tcW w:type="dxa" w:w="376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1A1A2E"/>
                <w:sz w:val="19"/>
                <w:szCs w:val="19"/>
              </w:rPr>
              <w:t xml:space="preserve">Job board — grouped by specialty, search, sort, expand/collapse cards (2-col grid)</w:t>
            </w:r>
          </w:p>
        </w:tc>
        <w:tc>
          <w:tcPr>
            <w:tcW w:type="dxa" w:w="28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2E7D32"/>
                <w:sz w:val="19"/>
                <w:szCs w:val="19"/>
              </w:rPr>
              <w:t xml:space="preserve">Public</w:t>
            </w:r>
          </w:p>
        </w:tc>
      </w:tr>
      <w:tr>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Courier New" w:cs="Courier New" w:eastAsia="Courier New" w:hAnsi="Courier New"/>
                <w:color w:val="1B4EDB"/>
                <w:sz w:val="18"/>
                <w:szCs w:val="18"/>
              </w:rPr>
              <w:t xml:space="preserve">/jobs/[id]</w:t>
            </w:r>
          </w:p>
        </w:tc>
        <w:tc>
          <w:tcPr>
            <w:tcW w:type="dxa" w:w="37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Job detail — full brief, role-aware CTAs (claim / submit / review / view)</w:t>
            </w:r>
          </w:p>
        </w:tc>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2E7D32"/>
                <w:sz w:val="19"/>
                <w:szCs w:val="19"/>
              </w:rPr>
              <w:t xml:space="preserve">Public</w:t>
            </w:r>
          </w:p>
        </w:tc>
      </w:tr>
      <w:tr>
        <w:tc>
          <w:tcPr>
            <w:tcW w:type="dxa" w:w="28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Courier New" w:cs="Courier New" w:eastAsia="Courier New" w:hAnsi="Courier New"/>
                <w:color w:val="1B4EDB"/>
                <w:sz w:val="18"/>
                <w:szCs w:val="18"/>
              </w:rPr>
              <w:t xml:space="preserve">/jobs/[id]/submit</w:t>
            </w:r>
          </w:p>
        </w:tc>
        <w:tc>
          <w:tcPr>
            <w:tcW w:type="dxa" w:w="376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1A1A2E"/>
                <w:sz w:val="19"/>
                <w:szCs w:val="19"/>
              </w:rPr>
              <w:t xml:space="preserve">Submit analysis — structured form: recommendation, rationale, premium, red flags, confidence</w:t>
            </w:r>
          </w:p>
        </w:tc>
        <w:tc>
          <w:tcPr>
            <w:tcW w:type="dxa" w:w="28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1B4EDB"/>
                <w:sz w:val="19"/>
                <w:szCs w:val="19"/>
              </w:rPr>
              <w:t xml:space="preserve">Auth required</w:t>
            </w:r>
          </w:p>
        </w:tc>
      </w:tr>
      <w:tr>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Courier New" w:cs="Courier New" w:eastAsia="Courier New" w:hAnsi="Courier New"/>
                <w:color w:val="1B4EDB"/>
                <w:sz w:val="18"/>
                <w:szCs w:val="18"/>
              </w:rPr>
              <w:t xml:space="preserve">/jobs/[id]/review</w:t>
            </w:r>
          </w:p>
        </w:tc>
        <w:tc>
          <w:tcPr>
            <w:tcW w:type="dxa" w:w="37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Review submission — poster rates underwriter 1–5, leaves feedback</w:t>
            </w:r>
          </w:p>
        </w:tc>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1B4EDB"/>
                <w:sz w:val="19"/>
                <w:szCs w:val="19"/>
              </w:rPr>
              <w:t xml:space="preserve">Auth required</w:t>
            </w:r>
          </w:p>
        </w:tc>
      </w:tr>
      <w:tr>
        <w:tc>
          <w:tcPr>
            <w:tcW w:type="dxa" w:w="28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Courier New" w:cs="Courier New" w:eastAsia="Courier New" w:hAnsi="Courier New"/>
                <w:color w:val="1B4EDB"/>
                <w:sz w:val="18"/>
                <w:szCs w:val="18"/>
              </w:rPr>
              <w:t xml:space="preserve">/underwriters</w:t>
            </w:r>
          </w:p>
        </w:tc>
        <w:tc>
          <w:tcPr>
            <w:tcW w:type="dxa" w:w="376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1A1A2E"/>
                <w:sz w:val="19"/>
                <w:szCs w:val="19"/>
              </w:rPr>
              <w:t xml:space="preserve">Underwriter directory — filterable by specialty, sortable by rating</w:t>
            </w:r>
          </w:p>
        </w:tc>
        <w:tc>
          <w:tcPr>
            <w:tcW w:type="dxa" w:w="28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2E7D32"/>
                <w:sz w:val="19"/>
                <w:szCs w:val="19"/>
              </w:rPr>
              <w:t xml:space="preserve">Public</w:t>
            </w:r>
          </w:p>
        </w:tc>
      </w:tr>
      <w:tr>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Courier New" w:cs="Courier New" w:eastAsia="Courier New" w:hAnsi="Courier New"/>
                <w:color w:val="1B4EDB"/>
                <w:sz w:val="18"/>
                <w:szCs w:val="18"/>
              </w:rPr>
              <w:t xml:space="preserve">/u/[handle]</w:t>
            </w:r>
          </w:p>
        </w:tc>
        <w:tc>
          <w:tcPr>
            <w:tcW w:type="dxa" w:w="37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Public profile — bio, specialties, rating, review history, completed jobs</w:t>
            </w:r>
          </w:p>
        </w:tc>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2E7D32"/>
                <w:sz w:val="19"/>
                <w:szCs w:val="19"/>
              </w:rPr>
              <w:t xml:space="preserve">Public</w:t>
            </w:r>
          </w:p>
        </w:tc>
      </w:tr>
      <w:tr>
        <w:tc>
          <w:tcPr>
            <w:tcW w:type="dxa" w:w="28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Courier New" w:cs="Courier New" w:eastAsia="Courier New" w:hAnsi="Courier New"/>
                <w:color w:val="1B4EDB"/>
                <w:sz w:val="18"/>
                <w:szCs w:val="18"/>
              </w:rPr>
              <w:t xml:space="preserve">/post-job</w:t>
            </w:r>
          </w:p>
        </w:tc>
        <w:tc>
          <w:tcPr>
            <w:tcW w:type="dxa" w:w="376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1A1A2E"/>
                <w:sz w:val="19"/>
                <w:szCs w:val="19"/>
              </w:rPr>
              <w:t xml:space="preserve">Post a job — full form with taxonomy, budget types, difficulty, hours</w:t>
            </w:r>
          </w:p>
        </w:tc>
        <w:tc>
          <w:tcPr>
            <w:tcW w:type="dxa" w:w="28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1B4EDB"/>
                <w:sz w:val="19"/>
                <w:szCs w:val="19"/>
              </w:rPr>
              <w:t xml:space="preserve">Auth required</w:t>
            </w:r>
          </w:p>
        </w:tc>
      </w:tr>
      <w:tr>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Courier New" w:cs="Courier New" w:eastAsia="Courier New" w:hAnsi="Courier New"/>
                <w:color w:val="1B4EDB"/>
                <w:sz w:val="18"/>
                <w:szCs w:val="18"/>
              </w:rPr>
              <w:t xml:space="preserve">/dashboard</w:t>
            </w:r>
          </w:p>
        </w:tc>
        <w:tc>
          <w:tcPr>
            <w:tcW w:type="dxa" w:w="37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Overview — completed jobs count, rating, verification status</w:t>
            </w:r>
          </w:p>
        </w:tc>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1B4EDB"/>
                <w:sz w:val="19"/>
                <w:szCs w:val="19"/>
              </w:rPr>
              <w:t xml:space="preserve">Auth required</w:t>
            </w:r>
          </w:p>
        </w:tc>
      </w:tr>
      <w:tr>
        <w:tc>
          <w:tcPr>
            <w:tcW w:type="dxa" w:w="28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Courier New" w:cs="Courier New" w:eastAsia="Courier New" w:hAnsi="Courier New"/>
                <w:color w:val="1B4EDB"/>
                <w:sz w:val="18"/>
                <w:szCs w:val="18"/>
              </w:rPr>
              <w:t xml:space="preserve">/dashboard/jobs</w:t>
            </w:r>
          </w:p>
        </w:tc>
        <w:tc>
          <w:tcPr>
            <w:tcW w:type="dxa" w:w="376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1A1A2E"/>
                <w:sz w:val="19"/>
                <w:szCs w:val="19"/>
              </w:rPr>
              <w:t xml:space="preserve">My jobs — all jobs claimed by the current user</w:t>
            </w:r>
          </w:p>
        </w:tc>
        <w:tc>
          <w:tcPr>
            <w:tcW w:type="dxa" w:w="28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1B4EDB"/>
                <w:sz w:val="19"/>
                <w:szCs w:val="19"/>
              </w:rPr>
              <w:t xml:space="preserve">Auth required</w:t>
            </w:r>
          </w:p>
        </w:tc>
      </w:tr>
      <w:tr>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Courier New" w:cs="Courier New" w:eastAsia="Courier New" w:hAnsi="Courier New"/>
                <w:color w:val="1B4EDB"/>
                <w:sz w:val="18"/>
                <w:szCs w:val="18"/>
              </w:rPr>
              <w:t xml:space="preserve">/dashboard/posted</w:t>
            </w:r>
          </w:p>
        </w:tc>
        <w:tc>
          <w:tcPr>
            <w:tcW w:type="dxa" w:w="37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Posted by me — all jobs the current user has posted</w:t>
            </w:r>
          </w:p>
        </w:tc>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1B4EDB"/>
                <w:sz w:val="19"/>
                <w:szCs w:val="19"/>
              </w:rPr>
              <w:t xml:space="preserve">Auth required</w:t>
            </w:r>
          </w:p>
        </w:tc>
      </w:tr>
      <w:tr>
        <w:tc>
          <w:tcPr>
            <w:tcW w:type="dxa" w:w="28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Courier New" w:cs="Courier New" w:eastAsia="Courier New" w:hAnsi="Courier New"/>
                <w:color w:val="1B4EDB"/>
                <w:sz w:val="18"/>
                <w:szCs w:val="18"/>
              </w:rPr>
              <w:t xml:space="preserve">/dashboard/profile</w:t>
            </w:r>
          </w:p>
        </w:tc>
        <w:tc>
          <w:tcPr>
            <w:tcW w:type="dxa" w:w="376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1A1A2E"/>
                <w:sz w:val="19"/>
                <w:szCs w:val="19"/>
              </w:rPr>
              <w:t xml:space="preserve">Edit profile — handle, bio, location, years experience, specialty tags</w:t>
            </w:r>
          </w:p>
        </w:tc>
        <w:tc>
          <w:tcPr>
            <w:tcW w:type="dxa" w:w="28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1B4EDB"/>
                <w:sz w:val="19"/>
                <w:szCs w:val="19"/>
              </w:rPr>
              <w:t xml:space="preserve">Auth required</w:t>
            </w:r>
          </w:p>
        </w:tc>
      </w:tr>
    </w:tbl>
    <w:p>
      <w:pPr>
        <w:spacing w:after="160" w:before="0"/>
      </w:pPr>
      <w:r>
        <w:t xml:space="preserve"/>
      </w:r>
    </w:p>
    <w:p>
      <w:pPr>
        <w:spacing w:after="80" w:before="200"/>
      </w:pPr>
      <w:r>
        <w:rPr>
          <w:rFonts w:ascii="Arial" w:cs="Arial" w:eastAsia="Arial" w:hAnsi="Arial"/>
          <w:b/>
          <w:bCs/>
          <w:color w:val="0D1F3D"/>
          <w:sz w:val="22"/>
          <w:szCs w:val="22"/>
        </w:rPr>
        <w:t xml:space="preserve">Authentication</w:t>
      </w:r>
    </w:p>
    <w:p>
      <w:pPr>
        <w:pStyle w:val="ListParagraph"/>
        <w:numPr>
          <w:ilvl w:val="0"/>
          <w:numId w:val="2"/>
        </w:numPr>
        <w:spacing w:after="60" w:before="40"/>
      </w:pPr>
      <w:r>
        <w:rPr>
          <w:rFonts w:ascii="Arial" w:cs="Arial" w:eastAsia="Arial" w:hAnsi="Arial"/>
          <w:color w:val="1A1A2E"/>
          <w:sz w:val="22"/>
          <w:szCs w:val="22"/>
        </w:rPr>
        <w:t xml:space="preserve">Email + password signup with Supabase email confirmation</w:t>
      </w:r>
    </w:p>
    <w:p>
      <w:pPr>
        <w:pStyle w:val="ListParagraph"/>
        <w:numPr>
          <w:ilvl w:val="0"/>
          <w:numId w:val="2"/>
        </w:numPr>
        <w:spacing w:after="60" w:before="40"/>
      </w:pPr>
      <w:r>
        <w:rPr>
          <w:rFonts w:ascii="Arial" w:cs="Arial" w:eastAsia="Arial" w:hAnsi="Arial"/>
          <w:color w:val="1A1A2E"/>
          <w:sz w:val="22"/>
          <w:szCs w:val="22"/>
        </w:rPr>
        <w:t xml:space="preserve">Login, logout, session refresh via middleware</w:t>
      </w:r>
    </w:p>
    <w:p>
      <w:pPr>
        <w:pStyle w:val="ListParagraph"/>
        <w:numPr>
          <w:ilvl w:val="0"/>
          <w:numId w:val="2"/>
        </w:numPr>
        <w:spacing w:after="60" w:before="40"/>
      </w:pPr>
      <w:r>
        <w:rPr>
          <w:rFonts w:ascii="Arial" w:cs="Arial" w:eastAsia="Arial" w:hAnsi="Arial"/>
          <w:color w:val="1A1A2E"/>
          <w:sz w:val="22"/>
          <w:szCs w:val="22"/>
        </w:rPr>
        <w:t xml:space="preserve">Protected routes redirect unauthenticated users to /login</w:t>
      </w:r>
    </w:p>
    <w:p>
      <w:pPr>
        <w:pStyle w:val="ListParagraph"/>
        <w:numPr>
          <w:ilvl w:val="0"/>
          <w:numId w:val="2"/>
        </w:numPr>
        <w:spacing w:after="60" w:before="40"/>
      </w:pPr>
      <w:r>
        <w:rPr>
          <w:rFonts w:ascii="Arial" w:cs="Arial" w:eastAsia="Arial" w:hAnsi="Arial"/>
          <w:color w:val="1A1A2E"/>
          <w:sz w:val="22"/>
          <w:szCs w:val="22"/>
        </w:rPr>
        <w:t xml:space="preserve">Auto-creates profile row on signup via database trigger</w:t>
      </w:r>
    </w:p>
    <w:p>
      <w:pPr>
        <w:spacing w:after="80" w:before="0"/>
      </w:pPr>
      <w:r>
        <w:t xml:space="preserve"/>
      </w:r>
    </w:p>
    <w:p>
      <w:pPr>
        <w:spacing w:after="80" w:before="200"/>
      </w:pPr>
      <w:r>
        <w:rPr>
          <w:rFonts w:ascii="Arial" w:cs="Arial" w:eastAsia="Arial" w:hAnsi="Arial"/>
          <w:b/>
          <w:bCs/>
          <w:color w:val="0D1F3D"/>
          <w:sz w:val="22"/>
          <w:szCs w:val="22"/>
        </w:rPr>
        <w:t xml:space="preserve">Job Board Features</w:t>
      </w:r>
    </w:p>
    <w:p>
      <w:pPr>
        <w:pStyle w:val="ListParagraph"/>
        <w:numPr>
          <w:ilvl w:val="0"/>
          <w:numId w:val="2"/>
        </w:numPr>
        <w:spacing w:after="60" w:before="40"/>
      </w:pPr>
      <w:r>
        <w:rPr>
          <w:rFonts w:ascii="Arial" w:cs="Arial" w:eastAsia="Arial" w:hAnsi="Arial"/>
          <w:color w:val="1A1A2E"/>
          <w:sz w:val="22"/>
          <w:szCs w:val="22"/>
        </w:rPr>
        <w:t xml:space="preserve">Cards grouped by specialty with collapsible sections</w:t>
      </w:r>
    </w:p>
    <w:p>
      <w:pPr>
        <w:pStyle w:val="ListParagraph"/>
        <w:numPr>
          <w:ilvl w:val="0"/>
          <w:numId w:val="2"/>
        </w:numPr>
        <w:spacing w:after="60" w:before="40"/>
      </w:pPr>
      <w:r>
        <w:rPr>
          <w:rFonts w:ascii="Arial" w:cs="Arial" w:eastAsia="Arial" w:hAnsi="Arial"/>
          <w:color w:val="1A1A2E"/>
          <w:sz w:val="22"/>
          <w:szCs w:val="22"/>
        </w:rPr>
        <w:t xml:space="preserve">In-page search across title, summary, description, and specialty</w:t>
      </w:r>
    </w:p>
    <w:p>
      <w:pPr>
        <w:pStyle w:val="ListParagraph"/>
        <w:numPr>
          <w:ilvl w:val="0"/>
          <w:numId w:val="2"/>
        </w:numPr>
        <w:spacing w:after="60" w:before="40"/>
      </w:pPr>
      <w:r>
        <w:rPr>
          <w:rFonts w:ascii="Arial" w:cs="Arial" w:eastAsia="Arial" w:hAnsi="Arial"/>
          <w:color w:val="1A1A2E"/>
          <w:sz w:val="22"/>
          <w:szCs w:val="22"/>
        </w:rPr>
        <w:t xml:space="preserve">Sort by newest, oldest, budget (high/low), difficulty</w:t>
      </w:r>
    </w:p>
    <w:p>
      <w:pPr>
        <w:pStyle w:val="ListParagraph"/>
        <w:numPr>
          <w:ilvl w:val="0"/>
          <w:numId w:val="2"/>
        </w:numPr>
        <w:spacing w:after="60" w:before="40"/>
      </w:pPr>
      <w:r>
        <w:rPr>
          <w:rFonts w:ascii="Arial" w:cs="Arial" w:eastAsia="Arial" w:hAnsi="Arial"/>
          <w:color w:val="1A1A2E"/>
          <w:sz w:val="22"/>
          <w:szCs w:val="22"/>
        </w:rPr>
        <w:t xml:space="preserve">2-column grid layout — more jobs visible per screen</w:t>
      </w:r>
    </w:p>
    <w:p>
      <w:pPr>
        <w:pStyle w:val="ListParagraph"/>
        <w:numPr>
          <w:ilvl w:val="0"/>
          <w:numId w:val="2"/>
        </w:numPr>
        <w:spacing w:after="60" w:before="40"/>
      </w:pPr>
      <w:r>
        <w:rPr>
          <w:rFonts w:ascii="Arial" w:cs="Arial" w:eastAsia="Arial" w:hAnsi="Arial"/>
          <w:color w:val="1A1A2E"/>
          <w:sz w:val="22"/>
          <w:szCs w:val="22"/>
        </w:rPr>
        <w:t xml:space="preserve">Expandable cards with summary preview; click through to full detail</w:t>
      </w:r>
    </w:p>
    <w:p>
      <w:pPr>
        <w:spacing w:after="80" w:before="0"/>
      </w:pPr>
      <w:r>
        <w:t xml:space="preserve"/>
      </w:r>
    </w:p>
    <w:p>
      <w:pPr>
        <w:spacing w:after="80" w:before="200"/>
      </w:pPr>
      <w:r>
        <w:rPr>
          <w:rFonts w:ascii="Arial" w:cs="Arial" w:eastAsia="Arial" w:hAnsi="Arial"/>
          <w:b/>
          <w:bCs/>
          <w:color w:val="0D1F3D"/>
          <w:sz w:val="22"/>
          <w:szCs w:val="22"/>
        </w:rPr>
        <w:t xml:space="preserve">Analysis Submission Form</w:t>
      </w:r>
    </w:p>
    <w:p>
      <w:pPr>
        <w:pStyle w:val="ListParagraph"/>
        <w:numPr>
          <w:ilvl w:val="0"/>
          <w:numId w:val="2"/>
        </w:numPr>
        <w:spacing w:after="60" w:before="40"/>
      </w:pPr>
      <w:r>
        <w:rPr>
          <w:rFonts w:ascii="Arial" w:cs="Arial" w:eastAsia="Arial" w:hAnsi="Arial"/>
          <w:color w:val="1A1A2E"/>
          <w:sz w:val="22"/>
          <w:szCs w:val="22"/>
        </w:rPr>
        <w:t xml:space="preserve">Structured recommendation: Approve / Decline / Quote with modifications / Needs more info</w:t>
      </w:r>
    </w:p>
    <w:p>
      <w:pPr>
        <w:pStyle w:val="ListParagraph"/>
        <w:numPr>
          <w:ilvl w:val="0"/>
          <w:numId w:val="2"/>
        </w:numPr>
        <w:spacing w:after="60" w:before="40"/>
      </w:pPr>
      <w:r>
        <w:rPr>
          <w:rFonts w:ascii="Arial" w:cs="Arial" w:eastAsia="Arial" w:hAnsi="Arial"/>
          <w:color w:val="1A1A2E"/>
          <w:sz w:val="22"/>
          <w:szCs w:val="22"/>
        </w:rPr>
        <w:t xml:space="preserve">Free-text rationale (minimum 50 characters enforced at DB level)</w:t>
      </w:r>
    </w:p>
    <w:p>
      <w:pPr>
        <w:pStyle w:val="ListParagraph"/>
        <w:numPr>
          <w:ilvl w:val="0"/>
          <w:numId w:val="2"/>
        </w:numPr>
        <w:spacing w:after="60" w:before="40"/>
      </w:pPr>
      <w:r>
        <w:rPr>
          <w:rFonts w:ascii="Arial" w:cs="Arial" w:eastAsia="Arial" w:hAnsi="Arial"/>
          <w:color w:val="1A1A2E"/>
          <w:sz w:val="22"/>
          <w:szCs w:val="22"/>
        </w:rPr>
        <w:t xml:space="preserve">Optional suggested premium in dollars</w:t>
      </w:r>
    </w:p>
    <w:p>
      <w:pPr>
        <w:pStyle w:val="ListParagraph"/>
        <w:numPr>
          <w:ilvl w:val="0"/>
          <w:numId w:val="2"/>
        </w:numPr>
        <w:spacing w:after="60" w:before="40"/>
      </w:pPr>
      <w:r>
        <w:rPr>
          <w:rFonts w:ascii="Arial" w:cs="Arial" w:eastAsia="Arial" w:hAnsi="Arial"/>
          <w:color w:val="1A1A2E"/>
          <w:sz w:val="22"/>
          <w:szCs w:val="22"/>
        </w:rPr>
        <w:t xml:space="preserve">Suggested terms stored as JSONB (deductible, exclusions, conditions)</w:t>
      </w:r>
    </w:p>
    <w:p>
      <w:pPr>
        <w:pStyle w:val="ListParagraph"/>
        <w:numPr>
          <w:ilvl w:val="0"/>
          <w:numId w:val="2"/>
        </w:numPr>
        <w:spacing w:after="60" w:before="40"/>
      </w:pPr>
      <w:r>
        <w:rPr>
          <w:rFonts w:ascii="Arial" w:cs="Arial" w:eastAsia="Arial" w:hAnsi="Arial"/>
          <w:color w:val="1A1A2E"/>
          <w:sz w:val="22"/>
          <w:szCs w:val="22"/>
        </w:rPr>
        <w:t xml:space="preserve">Red flags as a free-text array</w:t>
      </w:r>
    </w:p>
    <w:p>
      <w:pPr>
        <w:pStyle w:val="ListParagraph"/>
        <w:numPr>
          <w:ilvl w:val="0"/>
          <w:numId w:val="2"/>
        </w:numPr>
        <w:spacing w:after="60" w:before="40"/>
      </w:pPr>
      <w:r>
        <w:rPr>
          <w:rFonts w:ascii="Arial" w:cs="Arial" w:eastAsia="Arial" w:hAnsi="Arial"/>
          <w:color w:val="1A1A2E"/>
          <w:sz w:val="22"/>
          <w:szCs w:val="22"/>
        </w:rPr>
        <w:t xml:space="preserve">Confidence rating 1–5</w:t>
      </w:r>
    </w:p>
    <w:p>
      <w:pPr>
        <w:spacing w:after="80" w:before="0"/>
      </w:pPr>
      <w:r>
        <w:t xml:space="preserve"/>
      </w:r>
    </w:p>
    <w:p>
      <w:pPr>
        <w:pBdr>
          <w:bottom w:val="single" w:color="C5D2F0" w:sz="4" w:space="1"/>
        </w:pBdr>
        <w:spacing w:after="160" w:before="160"/>
      </w:pPr>
      <w:r>
        <w:t xml:space="preserve"/>
      </w:r>
    </w:p>
    <w:p>
      <w:pPr>
        <w:pStyle w:val="Heading1"/>
        <w:spacing w:after="160" w:before="360"/>
      </w:pPr>
      <w:r>
        <w:rPr>
          <w:rFonts w:ascii="Arial" w:cs="Arial" w:eastAsia="Arial" w:hAnsi="Arial"/>
          <w:b/>
          <w:bCs/>
          <w:color w:val="0D1F3D"/>
          <w:sz w:val="32"/>
          <w:szCs w:val="32"/>
        </w:rPr>
        <w:t xml:space="preserve">4. Database Architecture</w:t>
      </w:r>
    </w:p>
    <w:p>
      <w:pPr>
        <w:spacing w:after="100" w:before="60"/>
      </w:pPr>
      <w:r>
        <w:rPr>
          <w:rFonts w:ascii="Arial" w:cs="Arial" w:eastAsia="Arial" w:hAnsi="Arial"/>
          <w:b w:val="false"/>
          <w:bCs w:val="false"/>
          <w:color w:val="1A1A2E"/>
          <w:sz w:val="22"/>
          <w:szCs w:val="22"/>
        </w:rPr>
        <w:t xml:space="preserve">The database is a fully normalized Postgres schema running on Supabase. Row-Level Security (RLS) is enabled on all six tables — the default is deny-all, with explicit policies opening only the surfaces each role needs.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D0D5E8" w:sz="1"/>
              <w:left w:val="single" w:color="D0D5E8" w:sz="1"/>
              <w:bottom w:val="single" w:color="D0D5E8" w:sz="1"/>
              <w:right w:val="single" w:color="D0D5E8" w:sz="1"/>
            </w:tcBorders>
            <w:shd w:fill="0D1F3D"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360"/>
            <w:tcBorders>
              <w:top w:val="single" w:color="D0D5E8" w:sz="1"/>
              <w:left w:val="single" w:color="D0D5E8" w:sz="1"/>
              <w:bottom w:val="single" w:color="D0D5E8" w:sz="1"/>
              <w:right w:val="single" w:color="D0D5E8" w:sz="1"/>
            </w:tcBorders>
            <w:shd w:fill="0D1F3D"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00"/>
            <w:tcBorders>
              <w:top w:val="single" w:color="D0D5E8" w:sz="1"/>
              <w:left w:val="single" w:color="D0D5E8" w:sz="1"/>
              <w:bottom w:val="single" w:color="D0D5E8" w:sz="1"/>
              <w:right w:val="single" w:color="D0D5E8" w:sz="1"/>
            </w:tcBorders>
            <w:shd w:fill="0D1F3D"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Courier New" w:cs="Courier New" w:eastAsia="Courier New" w:hAnsi="Courier New"/>
                <w:b/>
                <w:bCs/>
                <w:color w:val="1B4EDB"/>
                <w:sz w:val="18"/>
                <w:szCs w:val="18"/>
              </w:rPr>
              <w:t xml:space="preserve">profiles</w:t>
            </w:r>
          </w:p>
        </w:tc>
        <w:tc>
          <w:tcPr>
            <w:tcW w:type="dxa" w:w="4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One row per user. Extends Supabase auth.users. Stores public identity, reputation scores, and flags.</w:t>
            </w:r>
          </w:p>
        </w:tc>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6B7280"/>
                <w:sz w:val="19"/>
                <w:szCs w:val="19"/>
              </w:rPr>
              <w:t xml:space="preserve">Rating, job count, verified flag, admin flag, citext handle</w:t>
            </w:r>
          </w:p>
        </w:tc>
      </w:tr>
      <w:tr>
        <w:tc>
          <w:tcPr>
            <w:tcW w:type="dxa" w:w="22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Courier New" w:cs="Courier New" w:eastAsia="Courier New" w:hAnsi="Courier New"/>
                <w:b/>
                <w:bCs/>
                <w:color w:val="1B4EDB"/>
                <w:sz w:val="18"/>
                <w:szCs w:val="18"/>
              </w:rPr>
              <w:t xml:space="preserve">profile_specialties</w:t>
            </w:r>
          </w:p>
        </w:tc>
        <w:tc>
          <w:tcPr>
            <w:tcW w:type="dxa" w:w="436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1A1A2E"/>
                <w:sz w:val="19"/>
                <w:szCs w:val="19"/>
              </w:rPr>
              <w:t xml:space="preserve">Many-to-many specialty tags on profiles. Used for filtering the underwriter directory and matching jobs.</w:t>
            </w:r>
          </w:p>
        </w:tc>
        <w:tc>
          <w:tcPr>
            <w:tcW w:type="dxa" w:w="28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6B7280"/>
                <w:sz w:val="19"/>
                <w:szCs w:val="19"/>
              </w:rPr>
              <w:t xml:space="preserve">Composite PK, indexed by specialty slug</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Courier New" w:cs="Courier New" w:eastAsia="Courier New" w:hAnsi="Courier New"/>
                <w:b/>
                <w:bCs/>
                <w:color w:val="1B4EDB"/>
                <w:sz w:val="18"/>
                <w:szCs w:val="18"/>
              </w:rPr>
              <w:t xml:space="preserve">jobs</w:t>
            </w:r>
          </w:p>
        </w:tc>
        <w:tc>
          <w:tcPr>
            <w:tcW w:type="dxa" w:w="4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The core entity. A consulting assignment posted by a poster.</w:t>
            </w:r>
          </w:p>
        </w:tc>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6B7280"/>
                <w:sz w:val="19"/>
                <w:szCs w:val="19"/>
              </w:rPr>
              <w:t xml:space="preserve">Status lifecycle, claim tracking, budget types, difficulty, JSONB extras</w:t>
            </w:r>
          </w:p>
        </w:tc>
      </w:tr>
      <w:tr>
        <w:tc>
          <w:tcPr>
            <w:tcW w:type="dxa" w:w="22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Courier New" w:cs="Courier New" w:eastAsia="Courier New" w:hAnsi="Courier New"/>
                <w:b/>
                <w:bCs/>
                <w:color w:val="1B4EDB"/>
                <w:sz w:val="18"/>
                <w:szCs w:val="18"/>
              </w:rPr>
              <w:t xml:space="preserve">submissions</w:t>
            </w:r>
          </w:p>
        </w:tc>
        <w:tc>
          <w:tcPr>
            <w:tcW w:type="dxa" w:w="436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1A1A2E"/>
                <w:sz w:val="19"/>
                <w:szCs w:val="19"/>
              </w:rPr>
              <w:t xml:space="preserve">An underwriter’s work product on a claimed job. One per (job, underwriter).</w:t>
            </w:r>
          </w:p>
        </w:tc>
        <w:tc>
          <w:tcPr>
            <w:tcW w:type="dxa" w:w="28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6B7280"/>
                <w:sz w:val="19"/>
                <w:szCs w:val="19"/>
              </w:rPr>
              <w:t xml:space="preserve">Recommendation enum, rationale, premium, red flags, confidence</w:t>
            </w:r>
          </w:p>
        </w:tc>
      </w:tr>
      <w:tr>
        <w:tc>
          <w:tcPr>
            <w:tcW w:type="dxa" w:w="22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Courier New" w:cs="Courier New" w:eastAsia="Courier New" w:hAnsi="Courier New"/>
                <w:b/>
                <w:bCs/>
                <w:color w:val="1B4EDB"/>
                <w:sz w:val="18"/>
                <w:szCs w:val="18"/>
              </w:rPr>
              <w:t xml:space="preserve">reviews</w:t>
            </w:r>
          </w:p>
        </w:tc>
        <w:tc>
          <w:tcPr>
            <w:tcW w:type="dxa" w:w="4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A poster’s rating of an underwriter’s submission. One per submission.</w:t>
            </w:r>
          </w:p>
        </w:tc>
        <w:tc>
          <w:tcPr>
            <w:tcW w:type="dxa" w:w="28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6B7280"/>
                <w:sz w:val="19"/>
                <w:szCs w:val="19"/>
              </w:rPr>
              <w:t xml:space="preserve">1–5 rating, feedback text, triggers rating recompute</w:t>
            </w:r>
          </w:p>
        </w:tc>
      </w:tr>
      <w:tr>
        <w:tc>
          <w:tcPr>
            <w:tcW w:type="dxa" w:w="22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Courier New" w:cs="Courier New" w:eastAsia="Courier New" w:hAnsi="Courier New"/>
                <w:b/>
                <w:bCs/>
                <w:color w:val="1B4EDB"/>
                <w:sz w:val="18"/>
                <w:szCs w:val="18"/>
              </w:rPr>
              <w:t xml:space="preserve">notifications</w:t>
            </w:r>
          </w:p>
        </w:tc>
        <w:tc>
          <w:tcPr>
            <w:tcW w:type="dxa" w:w="436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1A1A2E"/>
                <w:sz w:val="19"/>
                <w:szCs w:val="19"/>
              </w:rPr>
              <w:t xml:space="preserve">In-app notifications for all key events. UI surface pending.</w:t>
            </w:r>
          </w:p>
        </w:tc>
        <w:tc>
          <w:tcPr>
            <w:tcW w:type="dxa" w:w="28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6B7280"/>
                <w:sz w:val="19"/>
                <w:szCs w:val="19"/>
              </w:rPr>
              <w:t xml:space="preserve">Type enum, read_at timestamp, indexed on unread</w:t>
            </w:r>
          </w:p>
        </w:tc>
      </w:tr>
    </w:tbl>
    <w:p>
      <w:pPr>
        <w:spacing w:after="160" w:before="0"/>
      </w:pPr>
      <w:r>
        <w:t xml:space="preserve"/>
      </w:r>
    </w:p>
    <w:p>
      <w:pPr>
        <w:spacing w:after="80" w:before="200"/>
      </w:pPr>
      <w:r>
        <w:rPr>
          <w:rFonts w:ascii="Arial" w:cs="Arial" w:eastAsia="Arial" w:hAnsi="Arial"/>
          <w:b/>
          <w:bCs/>
          <w:color w:val="0D1F3D"/>
          <w:sz w:val="22"/>
          <w:szCs w:val="22"/>
        </w:rPr>
        <w:t xml:space="preserve">Automated Triggers</w:t>
      </w:r>
    </w:p>
    <w:p>
      <w:pPr>
        <w:pStyle w:val="ListParagraph"/>
        <w:numPr>
          <w:ilvl w:val="0"/>
          <w:numId w:val="2"/>
        </w:numPr>
        <w:spacing w:after="60" w:before="40"/>
      </w:pPr>
      <w:r>
        <w:rPr>
          <w:rFonts w:ascii="Arial" w:cs="Arial" w:eastAsia="Arial" w:hAnsi="Arial"/>
          <w:color w:val="1A1A2E"/>
          <w:sz w:val="22"/>
          <w:szCs w:val="22"/>
        </w:rPr>
        <w:t xml:space="preserve">New auth user → auto-creates profile row with handle derived from email</w:t>
      </w:r>
    </w:p>
    <w:p>
      <w:pPr>
        <w:pStyle w:val="ListParagraph"/>
        <w:numPr>
          <w:ilvl w:val="0"/>
          <w:numId w:val="2"/>
        </w:numPr>
        <w:spacing w:after="60" w:before="40"/>
      </w:pPr>
      <w:r>
        <w:rPr>
          <w:rFonts w:ascii="Arial" w:cs="Arial" w:eastAsia="Arial" w:hAnsi="Arial"/>
          <w:color w:val="1A1A2E"/>
          <w:sz w:val="22"/>
          <w:szCs w:val="22"/>
        </w:rPr>
        <w:t xml:space="preserve">Job claimed → status transitions open → claimed atomically, stamps claimed_at</w:t>
      </w:r>
    </w:p>
    <w:p>
      <w:pPr>
        <w:pStyle w:val="ListParagraph"/>
        <w:numPr>
          <w:ilvl w:val="0"/>
          <w:numId w:val="2"/>
        </w:numPr>
        <w:spacing w:after="60" w:before="40"/>
      </w:pPr>
      <w:r>
        <w:rPr>
          <w:rFonts w:ascii="Arial" w:cs="Arial" w:eastAsia="Arial" w:hAnsi="Arial"/>
          <w:color w:val="1A1A2E"/>
          <w:sz w:val="22"/>
          <w:szCs w:val="22"/>
        </w:rPr>
        <w:t xml:space="preserve">Job marked completed → stamps completed_at, bumps underwriter’s completed_job_count</w:t>
      </w:r>
    </w:p>
    <w:p>
      <w:pPr>
        <w:pStyle w:val="ListParagraph"/>
        <w:numPr>
          <w:ilvl w:val="0"/>
          <w:numId w:val="2"/>
        </w:numPr>
        <w:spacing w:after="60" w:before="40"/>
      </w:pPr>
      <w:r>
        <w:rPr>
          <w:rFonts w:ascii="Arial" w:cs="Arial" w:eastAsia="Arial" w:hAnsi="Arial"/>
          <w:color w:val="1A1A2E"/>
          <w:sz w:val="22"/>
          <w:szCs w:val="22"/>
        </w:rPr>
        <w:t xml:space="preserve">Review inserted/updated → recomputes underwriter’s average rating and rating_count</w:t>
      </w:r>
    </w:p>
    <w:p>
      <w:pPr>
        <w:pStyle w:val="ListParagraph"/>
        <w:numPr>
          <w:ilvl w:val="0"/>
          <w:numId w:val="2"/>
        </w:numPr>
        <w:spacing w:after="60" w:before="40"/>
      </w:pPr>
      <w:r>
        <w:rPr>
          <w:rFonts w:ascii="Arial" w:cs="Arial" w:eastAsia="Arial" w:hAnsi="Arial"/>
          <w:color w:val="1A1A2E"/>
          <w:sz w:val="22"/>
          <w:szCs w:val="22"/>
        </w:rPr>
        <w:t xml:space="preserve">All mutable tables → updated_at maintained automatically</w:t>
      </w:r>
    </w:p>
    <w:p>
      <w:pPr>
        <w:spacing w:after="80" w:before="0"/>
      </w:pPr>
      <w:r>
        <w:t xml:space="preserve"/>
      </w:r>
    </w:p>
    <w:p>
      <w:pPr>
        <w:spacing w:after="80" w:before="200"/>
      </w:pPr>
      <w:r>
        <w:rPr>
          <w:rFonts w:ascii="Arial" w:cs="Arial" w:eastAsia="Arial" w:hAnsi="Arial"/>
          <w:b/>
          <w:bCs/>
          <w:color w:val="0D1F3D"/>
          <w:sz w:val="22"/>
          <w:szCs w:val="22"/>
        </w:rPr>
        <w:t xml:space="preserve">RLS Policy Summary</w:t>
      </w:r>
    </w:p>
    <w:p>
      <w:pPr>
        <w:pStyle w:val="ListParagraph"/>
        <w:numPr>
          <w:ilvl w:val="0"/>
          <w:numId w:val="2"/>
        </w:numPr>
        <w:spacing w:after="60" w:before="40"/>
      </w:pPr>
      <w:r>
        <w:rPr>
          <w:rFonts w:ascii="Arial" w:cs="Arial" w:eastAsia="Arial" w:hAnsi="Arial"/>
          <w:color w:val="1A1A2E"/>
          <w:sz w:val="22"/>
          <w:szCs w:val="22"/>
        </w:rPr>
        <w:t xml:space="preserve">profiles — everyone can read; only the owner can update</w:t>
      </w:r>
    </w:p>
    <w:p>
      <w:pPr>
        <w:pStyle w:val="ListParagraph"/>
        <w:numPr>
          <w:ilvl w:val="0"/>
          <w:numId w:val="2"/>
        </w:numPr>
        <w:spacing w:after="60" w:before="40"/>
      </w:pPr>
      <w:r>
        <w:rPr>
          <w:rFonts w:ascii="Arial" w:cs="Arial" w:eastAsia="Arial" w:hAnsi="Arial"/>
          <w:color w:val="1A1A2E"/>
          <w:sz w:val="22"/>
          <w:szCs w:val="22"/>
        </w:rPr>
        <w:t xml:space="preserve">jobs — everyone can read; poster owns writes; underwriters can claim open jobs</w:t>
      </w:r>
    </w:p>
    <w:p>
      <w:pPr>
        <w:pStyle w:val="ListParagraph"/>
        <w:numPr>
          <w:ilvl w:val="0"/>
          <w:numId w:val="2"/>
        </w:numPr>
        <w:spacing w:after="60" w:before="40"/>
      </w:pPr>
      <w:r>
        <w:rPr>
          <w:rFonts w:ascii="Arial" w:cs="Arial" w:eastAsia="Arial" w:hAnsi="Arial"/>
          <w:color w:val="1A1A2E"/>
          <w:sz w:val="22"/>
          <w:szCs w:val="22"/>
        </w:rPr>
        <w:t xml:space="preserve">submissions — only the underwriter + the job poster can read; underwriter owns writes</w:t>
      </w:r>
    </w:p>
    <w:p>
      <w:pPr>
        <w:pStyle w:val="ListParagraph"/>
        <w:numPr>
          <w:ilvl w:val="0"/>
          <w:numId w:val="2"/>
        </w:numPr>
        <w:spacing w:after="60" w:before="40"/>
      </w:pPr>
      <w:r>
        <w:rPr>
          <w:rFonts w:ascii="Arial" w:cs="Arial" w:eastAsia="Arial" w:hAnsi="Arial"/>
          <w:color w:val="1A1A2E"/>
          <w:sz w:val="22"/>
          <w:szCs w:val="22"/>
        </w:rPr>
        <w:t xml:space="preserve">reviews — everyone can read; only the poster of that job can create</w:t>
      </w:r>
    </w:p>
    <w:p>
      <w:pPr>
        <w:pStyle w:val="ListParagraph"/>
        <w:numPr>
          <w:ilvl w:val="0"/>
          <w:numId w:val="2"/>
        </w:numPr>
        <w:spacing w:after="60" w:before="40"/>
      </w:pPr>
      <w:r>
        <w:rPr>
          <w:rFonts w:ascii="Arial" w:cs="Arial" w:eastAsia="Arial" w:hAnsi="Arial"/>
          <w:color w:val="1A1A2E"/>
          <w:sz w:val="22"/>
          <w:szCs w:val="22"/>
        </w:rPr>
        <w:t xml:space="preserve">notifications — owner reads and marks their own only</w:t>
      </w:r>
    </w:p>
    <w:p>
      <w:pPr>
        <w:spacing w:after="80" w:before="0"/>
      </w:pPr>
      <w:r>
        <w:t xml:space="preserve"/>
      </w:r>
    </w:p>
    <w:p>
      <w:pPr>
        <w:spacing w:after="80" w:before="200"/>
      </w:pPr>
      <w:r>
        <w:rPr>
          <w:rFonts w:ascii="Arial" w:cs="Arial" w:eastAsia="Arial" w:hAnsi="Arial"/>
          <w:b/>
          <w:bCs/>
          <w:color w:val="0D1F3D"/>
          <w:sz w:val="22"/>
          <w:szCs w:val="22"/>
        </w:rPr>
        <w:t xml:space="preserve">Specialty Taxonomy</w:t>
      </w:r>
    </w:p>
    <w:p>
      <w:pPr>
        <w:spacing w:after="100" w:before="60"/>
      </w:pPr>
      <w:r>
        <w:rPr>
          <w:rFonts w:ascii="Arial" w:cs="Arial" w:eastAsia="Arial" w:hAnsi="Arial"/>
          <w:b w:val="false"/>
          <w:bCs w:val="false"/>
          <w:color w:val="1A1A2E"/>
          <w:sz w:val="22"/>
          <w:szCs w:val="22"/>
        </w:rPr>
        <w:t xml:space="preserve">30 specialty slugs organized into 5 groups: Property, Liability, Specialty, Emerging, and Personal Lines. Designed to cover the lines most commonly surfaced in founder conversations, with particular depth in emerging risks (cannabis, BESS, drones, EV charging, crypto mining, vertical farming, psychedelic therapy).</w:t>
      </w:r>
    </w:p>
    <w:p>
      <w:pPr>
        <w:spacing w:after="80" w:before="0"/>
      </w:pPr>
      <w:r>
        <w:t xml:space="preserve"/>
      </w:r>
    </w:p>
    <w:p>
      <w:pPr>
        <w:pBdr>
          <w:bottom w:val="single" w:color="C5D2F0" w:sz="4" w:space="1"/>
        </w:pBdr>
        <w:spacing w:after="160" w:before="160"/>
      </w:pPr>
      <w:r>
        <w:t xml:space="preserve"/>
      </w:r>
    </w:p>
    <w:p>
      <w:pPr>
        <w:pStyle w:val="Heading1"/>
        <w:spacing w:after="160" w:before="360"/>
      </w:pPr>
      <w:r>
        <w:rPr>
          <w:rFonts w:ascii="Arial" w:cs="Arial" w:eastAsia="Arial" w:hAnsi="Arial"/>
          <w:b/>
          <w:bCs/>
          <w:color w:val="0D1F3D"/>
          <w:sz w:val="32"/>
          <w:szCs w:val="32"/>
        </w:rPr>
        <w:t xml:space="preserve">5. Tech Stack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D0D5E8" w:sz="1"/>
              <w:left w:val="single" w:color="D0D5E8" w:sz="1"/>
              <w:bottom w:val="single" w:color="D0D5E8" w:sz="1"/>
              <w:right w:val="single" w:color="D0D5E8" w:sz="1"/>
            </w:tcBorders>
            <w:shd w:fill="0D1F3D"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360"/>
            <w:tcBorders>
              <w:top w:val="single" w:color="D0D5E8" w:sz="1"/>
              <w:left w:val="single" w:color="D0D5E8" w:sz="1"/>
              <w:bottom w:val="single" w:color="D0D5E8" w:sz="1"/>
              <w:right w:val="single" w:color="D0D5E8" w:sz="1"/>
            </w:tcBorders>
            <w:shd w:fill="0D1F3D"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600"/>
            <w:tcBorders>
              <w:top w:val="single" w:color="D0D5E8" w:sz="1"/>
              <w:left w:val="single" w:color="D0D5E8" w:sz="1"/>
              <w:bottom w:val="single" w:color="D0D5E8" w:sz="1"/>
              <w:right w:val="single" w:color="D0D5E8" w:sz="1"/>
            </w:tcBorders>
            <w:shd w:fill="0D1F3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Framework</w:t>
            </w:r>
          </w:p>
        </w:tc>
        <w:tc>
          <w:tcPr>
            <w:tcW w:type="dxa" w:w="3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1B4EDB"/>
                <w:sz w:val="19"/>
                <w:szCs w:val="19"/>
              </w:rPr>
              <w:t xml:space="preserve">Next.js 15 (App Router)</w:t>
            </w:r>
          </w:p>
        </w:tc>
        <w:tc>
          <w:tcPr>
            <w:tcW w:type="dxa" w:w="3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6B7280"/>
                <w:sz w:val="19"/>
                <w:szCs w:val="19"/>
              </w:rPr>
              <w:t xml:space="preserve">TypeScript, React 19, Turbopack in dev</w:t>
            </w:r>
          </w:p>
        </w:tc>
      </w:tr>
      <w:tr>
        <w:tc>
          <w:tcPr>
            <w:tcW w:type="dxa" w:w="24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b/>
                <w:bCs/>
                <w:color w:val="1A1A2E"/>
                <w:sz w:val="19"/>
                <w:szCs w:val="19"/>
              </w:rPr>
              <w:t xml:space="preserve">Styling</w:t>
            </w:r>
          </w:p>
        </w:tc>
        <w:tc>
          <w:tcPr>
            <w:tcW w:type="dxa" w:w="336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1B4EDB"/>
                <w:sz w:val="19"/>
                <w:szCs w:val="19"/>
              </w:rPr>
              <w:t xml:space="preserve">Tailwind CSS v4</w:t>
            </w:r>
          </w:p>
        </w:tc>
        <w:tc>
          <w:tcPr>
            <w:tcW w:type="dxa" w:w="36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6B7280"/>
                <w:sz w:val="19"/>
                <w:szCs w:val="19"/>
              </w:rPr>
              <w:t xml:space="preserve">CSS variable theming, dark/light mode</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Database</w:t>
            </w:r>
          </w:p>
        </w:tc>
        <w:tc>
          <w:tcPr>
            <w:tcW w:type="dxa" w:w="3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1B4EDB"/>
                <w:sz w:val="19"/>
                <w:szCs w:val="19"/>
              </w:rPr>
              <w:t xml:space="preserve">Supabase Postgres</w:t>
            </w:r>
          </w:p>
        </w:tc>
        <w:tc>
          <w:tcPr>
            <w:tcW w:type="dxa" w:w="3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6B7280"/>
                <w:sz w:val="19"/>
                <w:szCs w:val="19"/>
              </w:rPr>
              <w:t xml:space="preserve">RLS, triggers, citext extension</w:t>
            </w:r>
          </w:p>
        </w:tc>
      </w:tr>
      <w:tr>
        <w:tc>
          <w:tcPr>
            <w:tcW w:type="dxa" w:w="24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b/>
                <w:bCs/>
                <w:color w:val="1A1A2E"/>
                <w:sz w:val="19"/>
                <w:szCs w:val="19"/>
              </w:rPr>
              <w:t xml:space="preserve">Auth</w:t>
            </w:r>
          </w:p>
        </w:tc>
        <w:tc>
          <w:tcPr>
            <w:tcW w:type="dxa" w:w="336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1B4EDB"/>
                <w:sz w:val="19"/>
                <w:szCs w:val="19"/>
              </w:rPr>
              <w:t xml:space="preserve">Supabase Auth</w:t>
            </w:r>
          </w:p>
        </w:tc>
        <w:tc>
          <w:tcPr>
            <w:tcW w:type="dxa" w:w="36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6B7280"/>
                <w:sz w:val="19"/>
                <w:szCs w:val="19"/>
              </w:rPr>
              <w:t xml:space="preserve">Email + password, JWT, middleware session refresh</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Hosting</w:t>
            </w:r>
          </w:p>
        </w:tc>
        <w:tc>
          <w:tcPr>
            <w:tcW w:type="dxa" w:w="3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1B4EDB"/>
                <w:sz w:val="19"/>
                <w:szCs w:val="19"/>
              </w:rPr>
              <w:t xml:space="preserve">Netlify</w:t>
            </w:r>
          </w:p>
        </w:tc>
        <w:tc>
          <w:tcPr>
            <w:tcW w:type="dxa" w:w="3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6B7280"/>
                <w:sz w:val="19"/>
                <w:szCs w:val="19"/>
              </w:rPr>
              <w:t xml:space="preserve">Auto-deploy on push to main</w:t>
            </w:r>
          </w:p>
        </w:tc>
      </w:tr>
      <w:tr>
        <w:tc>
          <w:tcPr>
            <w:tcW w:type="dxa" w:w="24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b/>
                <w:bCs/>
                <w:color w:val="1A1A2E"/>
                <w:sz w:val="19"/>
                <w:szCs w:val="19"/>
              </w:rPr>
              <w:t xml:space="preserve">Source Control</w:t>
            </w:r>
          </w:p>
        </w:tc>
        <w:tc>
          <w:tcPr>
            <w:tcW w:type="dxa" w:w="336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1B4EDB"/>
                <w:sz w:val="19"/>
                <w:szCs w:val="19"/>
              </w:rPr>
              <w:t xml:space="preserve">GitHub</w:t>
            </w:r>
          </w:p>
        </w:tc>
        <w:tc>
          <w:tcPr>
            <w:tcW w:type="dxa" w:w="36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6B7280"/>
                <w:sz w:val="19"/>
                <w:szCs w:val="19"/>
              </w:rPr>
              <w:t xml:space="preserve">github.com/TheJimmyJam/DUG</w:t>
            </w:r>
          </w:p>
        </w:tc>
      </w:tr>
      <w:tr>
        <w:tc>
          <w:tcPr>
            <w:tcW w:type="dxa" w:w="24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Email (pending)</w:t>
            </w:r>
          </w:p>
        </w:tc>
        <w:tc>
          <w:tcPr>
            <w:tcW w:type="dxa" w:w="336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1B4EDB"/>
                <w:sz w:val="19"/>
                <w:szCs w:val="19"/>
              </w:rPr>
              <w:t xml:space="preserve">Resend</w:t>
            </w:r>
          </w:p>
        </w:tc>
        <w:tc>
          <w:tcPr>
            <w:tcW w:type="dxa" w:w="3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6B7280"/>
                <w:sz w:val="19"/>
                <w:szCs w:val="19"/>
              </w:rPr>
              <w:t xml:space="preserve">Wired but not yet triggered</w:t>
            </w:r>
          </w:p>
        </w:tc>
      </w:tr>
      <w:tr>
        <w:tc>
          <w:tcPr>
            <w:tcW w:type="dxa" w:w="24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b/>
                <w:bCs/>
                <w:color w:val="1A1A2E"/>
                <w:sz w:val="19"/>
                <w:szCs w:val="19"/>
              </w:rPr>
              <w:t xml:space="preserve">DNS (pending)</w:t>
            </w:r>
          </w:p>
        </w:tc>
        <w:tc>
          <w:tcPr>
            <w:tcW w:type="dxa" w:w="336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1B4EDB"/>
                <w:sz w:val="19"/>
                <w:szCs w:val="19"/>
              </w:rPr>
              <w:t xml:space="preserve">Cloudflare</w:t>
            </w:r>
          </w:p>
        </w:tc>
        <w:tc>
          <w:tcPr>
            <w:tcW w:type="dxa" w:w="36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6B7280"/>
                <w:sz w:val="19"/>
                <w:szCs w:val="19"/>
              </w:rPr>
              <w:t xml:space="preserve">Custom domain setup pending</w:t>
            </w:r>
          </w:p>
        </w:tc>
      </w:tr>
    </w:tbl>
    <w:p>
      <w:pPr>
        <w:spacing w:after="160" w:before="0"/>
      </w:pPr>
      <w:r>
        <w:t xml:space="preserve"/>
      </w:r>
    </w:p>
    <w:p>
      <w:pPr>
        <w:spacing w:after="80" w:before="200"/>
      </w:pPr>
      <w:r>
        <w:rPr>
          <w:rFonts w:ascii="Arial" w:cs="Arial" w:eastAsia="Arial" w:hAnsi="Arial"/>
          <w:b/>
          <w:bCs/>
          <w:color w:val="0D1F3D"/>
          <w:sz w:val="22"/>
          <w:szCs w:val="22"/>
        </w:rPr>
        <w:t xml:space="preserve">Performance Optimizations Implemented</w:t>
      </w:r>
    </w:p>
    <w:p>
      <w:pPr>
        <w:pStyle w:val="ListParagraph"/>
        <w:numPr>
          <w:ilvl w:val="0"/>
          <w:numId w:val="2"/>
        </w:numPr>
        <w:spacing w:after="60" w:before="40"/>
      </w:pPr>
      <w:r>
        <w:rPr>
          <w:rFonts w:ascii="Arial" w:cs="Arial" w:eastAsia="Arial" w:hAnsi="Arial"/>
          <w:color w:val="1A1A2E"/>
          <w:sz w:val="22"/>
          <w:szCs w:val="22"/>
        </w:rPr>
        <w:t xml:space="preserve">Middleware auth check scoped to protected routes only — eliminates Supabase network call on public page navigations</w:t>
      </w:r>
    </w:p>
    <w:p>
      <w:pPr>
        <w:pStyle w:val="ListParagraph"/>
        <w:numPr>
          <w:ilvl w:val="0"/>
          <w:numId w:val="2"/>
        </w:numPr>
        <w:spacing w:after="60" w:before="40"/>
      </w:pPr>
      <w:r>
        <w:rPr>
          <w:rFonts w:ascii="Arial" w:cs="Arial" w:eastAsia="Arial" w:hAnsi="Arial"/>
          <w:color w:val="1A1A2E"/>
          <w:sz w:val="22"/>
          <w:szCs w:val="22"/>
        </w:rPr>
        <w:t xml:space="preserve">ISR (Incremental Static Regeneration) on /jobs (30s) and /underwriters (60s) — cached pages served near-instantly</w:t>
      </w:r>
    </w:p>
    <w:p>
      <w:pPr>
        <w:pStyle w:val="ListParagraph"/>
        <w:numPr>
          <w:ilvl w:val="0"/>
          <w:numId w:val="2"/>
        </w:numPr>
        <w:spacing w:after="60" w:before="40"/>
      </w:pPr>
      <w:r>
        <w:rPr>
          <w:rFonts w:ascii="Arial" w:cs="Arial" w:eastAsia="Arial" w:hAnsi="Arial"/>
          <w:color w:val="1A1A2E"/>
          <w:sz w:val="22"/>
          <w:szCs w:val="22"/>
        </w:rPr>
        <w:t xml:space="preserve">Next.js Link prefetch=true on all nav links — pages pre-load on header render</w:t>
      </w:r>
    </w:p>
    <w:p>
      <w:pPr>
        <w:pStyle w:val="ListParagraph"/>
        <w:numPr>
          <w:ilvl w:val="0"/>
          <w:numId w:val="2"/>
        </w:numPr>
        <w:spacing w:after="60" w:before="40"/>
      </w:pPr>
      <w:r>
        <w:rPr>
          <w:rFonts w:ascii="Arial" w:cs="Arial" w:eastAsia="Arial" w:hAnsi="Arial"/>
          <w:color w:val="1A1A2E"/>
          <w:sz w:val="22"/>
          <w:szCs w:val="22"/>
        </w:rPr>
        <w:t xml:space="preserve">Per-request memoized Supabase client — single DB connection per request lifecycle</w:t>
      </w:r>
    </w:p>
    <w:p>
      <w:pPr>
        <w:spacing w:after="80" w:before="0"/>
      </w:pPr>
      <w:r>
        <w:t xml:space="preserve"/>
      </w:r>
    </w:p>
    <w:p>
      <w:pPr>
        <w:pBdr>
          <w:bottom w:val="single" w:color="C5D2F0" w:sz="4" w:space="1"/>
        </w:pBdr>
        <w:spacing w:after="160" w:before="160"/>
      </w:pPr>
      <w:r>
        <w:t xml:space="preserve"/>
      </w:r>
    </w:p>
    <w:p>
      <w:pPr>
        <w:pStyle w:val="Heading1"/>
        <w:spacing w:after="160" w:before="360"/>
      </w:pPr>
      <w:r>
        <w:rPr>
          <w:rFonts w:ascii="Arial" w:cs="Arial" w:eastAsia="Arial" w:hAnsi="Arial"/>
          <w:b/>
          <w:bCs/>
          <w:color w:val="0D1F3D"/>
          <w:sz w:val="32"/>
          <w:szCs w:val="32"/>
        </w:rPr>
        <w:t xml:space="preserve">6. What’s Next</w:t>
      </w:r>
    </w:p>
    <w:p>
      <w:pPr>
        <w:spacing w:after="100" w:before="60"/>
      </w:pPr>
      <w:r>
        <w:rPr>
          <w:rFonts w:ascii="Arial" w:cs="Arial" w:eastAsia="Arial" w:hAnsi="Arial"/>
          <w:b w:val="false"/>
          <w:bCs w:val="false"/>
          <w:color w:val="1A1A2E"/>
          <w:sz w:val="22"/>
          <w:szCs w:val="22"/>
        </w:rPr>
        <w:t xml:space="preserve">The MVP scaffolding is complete and functional. The following items represent the prioritized build queue for Phase 2:</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280"/>
        <w:gridCol w:w="3600"/>
      </w:tblGrid>
      <w:tr>
        <w:tc>
          <w:tcPr>
            <w:tcW w:type="dxa" w:w="480"/>
            <w:tcBorders>
              <w:top w:val="single" w:color="D0D5E8" w:sz="1"/>
              <w:left w:val="single" w:color="D0D5E8" w:sz="1"/>
              <w:bottom w:val="single" w:color="D0D5E8" w:sz="1"/>
              <w:right w:val="single" w:color="D0D5E8" w:sz="1"/>
            </w:tcBorders>
            <w:shd w:fill="0D1F3D"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5280"/>
            <w:tcBorders>
              <w:top w:val="single" w:color="D0D5E8" w:sz="1"/>
              <w:left w:val="single" w:color="D0D5E8" w:sz="1"/>
              <w:bottom w:val="single" w:color="D0D5E8" w:sz="1"/>
              <w:right w:val="single" w:color="D0D5E8" w:sz="1"/>
            </w:tcBorders>
            <w:shd w:fill="0D1F3D"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3600"/>
            <w:tcBorders>
              <w:top w:val="single" w:color="D0D5E8" w:sz="1"/>
              <w:left w:val="single" w:color="D0D5E8" w:sz="1"/>
              <w:bottom w:val="single" w:color="D0D5E8" w:sz="1"/>
              <w:right w:val="single" w:color="D0D5E8" w:sz="1"/>
            </w:tcBorders>
            <w:shd w:fill="0D1F3D"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480"/>
            <w:tcBorders>
              <w:top w:val="single" w:color="D0D5E8" w:sz="1"/>
              <w:left w:val="single" w:color="D0D5E8" w:sz="1"/>
              <w:bottom w:val="single" w:color="D0D5E8" w:sz="1"/>
              <w:right w:val="single" w:color="D0D5E8" w:sz="1"/>
            </w:tcBorders>
            <w:shd w:fill="FFFFFF" w:val="clear"/>
            <w:tcMar>
              <w:top w:type="dxa" w:w="70"/>
              <w:left w:type="dxa" w:w="80"/>
              <w:bottom w:type="dxa" w:w="70"/>
              <w:right w:type="dxa" w:w="80"/>
            </w:tcMar>
          </w:tcPr>
          <w:p>
            <w:pPr>
              <w:jc w:val="center"/>
            </w:pPr>
            <w:r>
              <w:rPr>
                <w:rFonts w:ascii="Arial" w:cs="Arial" w:eastAsia="Arial" w:hAnsi="Arial"/>
                <w:b/>
                <w:bCs/>
                <w:color w:val="1B4EDB"/>
                <w:sz w:val="19"/>
                <w:szCs w:val="19"/>
              </w:rPr>
              <w:t xml:space="preserve">1</w:t>
            </w:r>
          </w:p>
        </w:tc>
        <w:tc>
          <w:tcPr>
            <w:tcW w:type="dxa" w:w="528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Email notifications via Resend</w:t>
            </w:r>
          </w:p>
        </w:tc>
        <w:tc>
          <w:tcPr>
            <w:tcW w:type="dxa" w:w="3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6B7280"/>
                <w:sz w:val="19"/>
                <w:szCs w:val="19"/>
              </w:rPr>
              <w:t xml:space="preserve">Welcome, claim confirmed, submission received, review received. DB table + trigger logic already exists.</w:t>
            </w:r>
          </w:p>
        </w:tc>
      </w:tr>
      <w:tr>
        <w:tc>
          <w:tcPr>
            <w:tcW w:type="dxa" w:w="480"/>
            <w:tcBorders>
              <w:top w:val="single" w:color="D0D5E8" w:sz="1"/>
              <w:left w:val="single" w:color="D0D5E8" w:sz="1"/>
              <w:bottom w:val="single" w:color="D0D5E8" w:sz="1"/>
              <w:right w:val="single" w:color="D0D5E8" w:sz="1"/>
            </w:tcBorders>
            <w:shd w:fill="F5F6FA" w:val="clear"/>
            <w:tcMar>
              <w:top w:type="dxa" w:w="70"/>
              <w:left w:type="dxa" w:w="80"/>
              <w:bottom w:type="dxa" w:w="70"/>
              <w:right w:type="dxa" w:w="80"/>
            </w:tcMar>
          </w:tcPr>
          <w:p>
            <w:pPr>
              <w:jc w:val="center"/>
            </w:pPr>
            <w:r>
              <w:rPr>
                <w:rFonts w:ascii="Arial" w:cs="Arial" w:eastAsia="Arial" w:hAnsi="Arial"/>
                <w:b/>
                <w:bCs/>
                <w:color w:val="1B4EDB"/>
                <w:sz w:val="19"/>
                <w:szCs w:val="19"/>
              </w:rPr>
              <w:t xml:space="preserve">2</w:t>
            </w:r>
          </w:p>
        </w:tc>
        <w:tc>
          <w:tcPr>
            <w:tcW w:type="dxa" w:w="528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b/>
                <w:bCs/>
                <w:color w:val="1A1A2E"/>
                <w:sz w:val="19"/>
                <w:szCs w:val="19"/>
              </w:rPr>
              <w:t xml:space="preserve">Custom domain via Cloudflare</w:t>
            </w:r>
          </w:p>
        </w:tc>
        <w:tc>
          <w:tcPr>
            <w:tcW w:type="dxa" w:w="36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6B7280"/>
                <w:sz w:val="19"/>
                <w:szCs w:val="19"/>
              </w:rPr>
              <w:t xml:space="preserve">DNS setup for trydug.com or chosen domain. Netlify + Cloudflare wiring is straightforward.</w:t>
            </w:r>
          </w:p>
        </w:tc>
      </w:tr>
      <w:tr>
        <w:tc>
          <w:tcPr>
            <w:tcW w:type="dxa" w:w="480"/>
            <w:tcBorders>
              <w:top w:val="single" w:color="D0D5E8" w:sz="1"/>
              <w:left w:val="single" w:color="D0D5E8" w:sz="1"/>
              <w:bottom w:val="single" w:color="D0D5E8" w:sz="1"/>
              <w:right w:val="single" w:color="D0D5E8" w:sz="1"/>
            </w:tcBorders>
            <w:shd w:fill="FFFFFF" w:val="clear"/>
            <w:tcMar>
              <w:top w:type="dxa" w:w="70"/>
              <w:left w:type="dxa" w:w="80"/>
              <w:bottom w:type="dxa" w:w="70"/>
              <w:right w:type="dxa" w:w="80"/>
            </w:tcMar>
          </w:tcPr>
          <w:p>
            <w:pPr>
              <w:jc w:val="center"/>
            </w:pPr>
            <w:r>
              <w:rPr>
                <w:rFonts w:ascii="Arial" w:cs="Arial" w:eastAsia="Arial" w:hAnsi="Arial"/>
                <w:b/>
                <w:bCs/>
                <w:color w:val="1B4EDB"/>
                <w:sz w:val="19"/>
                <w:szCs w:val="19"/>
              </w:rPr>
              <w:t xml:space="preserve">3</w:t>
            </w:r>
          </w:p>
        </w:tc>
        <w:tc>
          <w:tcPr>
            <w:tcW w:type="dxa" w:w="528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Notifications dropdown in header</w:t>
            </w:r>
          </w:p>
        </w:tc>
        <w:tc>
          <w:tcPr>
            <w:tcW w:type="dxa" w:w="3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6B7280"/>
                <w:sz w:val="19"/>
                <w:szCs w:val="19"/>
              </w:rPr>
              <w:t xml:space="preserve">DB table is seeded and indexed. UI surface (bell icon, unread count, dropdown) still pending.</w:t>
            </w:r>
          </w:p>
        </w:tc>
      </w:tr>
      <w:tr>
        <w:tc>
          <w:tcPr>
            <w:tcW w:type="dxa" w:w="480"/>
            <w:tcBorders>
              <w:top w:val="single" w:color="D0D5E8" w:sz="1"/>
              <w:left w:val="single" w:color="D0D5E8" w:sz="1"/>
              <w:bottom w:val="single" w:color="D0D5E8" w:sz="1"/>
              <w:right w:val="single" w:color="D0D5E8" w:sz="1"/>
            </w:tcBorders>
            <w:shd w:fill="F5F6FA" w:val="clear"/>
            <w:tcMar>
              <w:top w:type="dxa" w:w="70"/>
              <w:left w:type="dxa" w:w="80"/>
              <w:bottom w:type="dxa" w:w="70"/>
              <w:right w:type="dxa" w:w="80"/>
            </w:tcMar>
          </w:tcPr>
          <w:p>
            <w:pPr>
              <w:jc w:val="center"/>
            </w:pPr>
            <w:r>
              <w:rPr>
                <w:rFonts w:ascii="Arial" w:cs="Arial" w:eastAsia="Arial" w:hAnsi="Arial"/>
                <w:b/>
                <w:bCs/>
                <w:color w:val="1B4EDB"/>
                <w:sz w:val="19"/>
                <w:szCs w:val="19"/>
              </w:rPr>
              <w:t xml:space="preserve">4</w:t>
            </w:r>
          </w:p>
        </w:tc>
        <w:tc>
          <w:tcPr>
            <w:tcW w:type="dxa" w:w="528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b/>
                <w:bCs/>
                <w:color w:val="1A1A2E"/>
                <w:sz w:val="19"/>
                <w:szCs w:val="19"/>
              </w:rPr>
              <w:t xml:space="preserve">2FA enrollment UX</w:t>
            </w:r>
          </w:p>
        </w:tc>
        <w:tc>
          <w:tcPr>
            <w:tcW w:type="dxa" w:w="36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6B7280"/>
                <w:sz w:val="19"/>
                <w:szCs w:val="19"/>
              </w:rPr>
              <w:t xml:space="preserve">Supabase Auth supports TOTP 2FA natively. UI surface for enrollment + verification pending.</w:t>
            </w:r>
          </w:p>
        </w:tc>
      </w:tr>
      <w:tr>
        <w:tc>
          <w:tcPr>
            <w:tcW w:type="dxa" w:w="480"/>
            <w:tcBorders>
              <w:top w:val="single" w:color="D0D5E8" w:sz="1"/>
              <w:left w:val="single" w:color="D0D5E8" w:sz="1"/>
              <w:bottom w:val="single" w:color="D0D5E8" w:sz="1"/>
              <w:right w:val="single" w:color="D0D5E8" w:sz="1"/>
            </w:tcBorders>
            <w:shd w:fill="FFFFFF" w:val="clear"/>
            <w:tcMar>
              <w:top w:type="dxa" w:w="70"/>
              <w:left w:type="dxa" w:w="80"/>
              <w:bottom w:type="dxa" w:w="70"/>
              <w:right w:type="dxa" w:w="80"/>
            </w:tcMar>
          </w:tcPr>
          <w:p>
            <w:pPr>
              <w:jc w:val="center"/>
            </w:pPr>
            <w:r>
              <w:rPr>
                <w:rFonts w:ascii="Arial" w:cs="Arial" w:eastAsia="Arial" w:hAnsi="Arial"/>
                <w:b/>
                <w:bCs/>
                <w:color w:val="1B4EDB"/>
                <w:sz w:val="19"/>
                <w:szCs w:val="19"/>
              </w:rPr>
              <w:t xml:space="preserve">5</w:t>
            </w:r>
          </w:p>
        </w:tc>
        <w:tc>
          <w:tcPr>
            <w:tcW w:type="dxa" w:w="528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Stripe payment integration</w:t>
            </w:r>
          </w:p>
        </w:tc>
        <w:tc>
          <w:tcPr>
            <w:tcW w:type="dxa" w:w="3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6B7280"/>
                <w:sz w:val="19"/>
                <w:szCs w:val="19"/>
              </w:rPr>
              <w:t xml:space="preserve">For paid jobs — Stripe keys are already in credentials. Payment flow, escrow model, and payout logic TBD.</w:t>
            </w:r>
          </w:p>
        </w:tc>
      </w:tr>
      <w:tr>
        <w:tc>
          <w:tcPr>
            <w:tcW w:type="dxa" w:w="480"/>
            <w:tcBorders>
              <w:top w:val="single" w:color="D0D5E8" w:sz="1"/>
              <w:left w:val="single" w:color="D0D5E8" w:sz="1"/>
              <w:bottom w:val="single" w:color="D0D5E8" w:sz="1"/>
              <w:right w:val="single" w:color="D0D5E8" w:sz="1"/>
            </w:tcBorders>
            <w:shd w:fill="F5F6FA" w:val="clear"/>
            <w:tcMar>
              <w:top w:type="dxa" w:w="70"/>
              <w:left w:type="dxa" w:w="80"/>
              <w:bottom w:type="dxa" w:w="70"/>
              <w:right w:type="dxa" w:w="80"/>
            </w:tcMar>
          </w:tcPr>
          <w:p>
            <w:pPr>
              <w:jc w:val="center"/>
            </w:pPr>
            <w:r>
              <w:rPr>
                <w:rFonts w:ascii="Arial" w:cs="Arial" w:eastAsia="Arial" w:hAnsi="Arial"/>
                <w:b/>
                <w:bCs/>
                <w:color w:val="1B4EDB"/>
                <w:sz w:val="19"/>
                <w:szCs w:val="19"/>
              </w:rPr>
              <w:t xml:space="preserve">6</w:t>
            </w:r>
          </w:p>
        </w:tc>
        <w:tc>
          <w:tcPr>
            <w:tcW w:type="dxa" w:w="528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b/>
                <w:bCs/>
                <w:color w:val="1A1A2E"/>
                <w:sz w:val="19"/>
                <w:szCs w:val="19"/>
              </w:rPr>
              <w:t xml:space="preserve">Job matching / recommendations</w:t>
            </w:r>
          </w:p>
        </w:tc>
        <w:tc>
          <w:tcPr>
            <w:tcW w:type="dxa" w:w="36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6B7280"/>
                <w:sz w:val="19"/>
                <w:szCs w:val="19"/>
              </w:rPr>
              <w:t xml:space="preserve">Surface relevant open jobs to underwriters based on their specialty tags. Simple query first, ranking layer later.</w:t>
            </w:r>
          </w:p>
        </w:tc>
      </w:tr>
      <w:tr>
        <w:tc>
          <w:tcPr>
            <w:tcW w:type="dxa" w:w="480"/>
            <w:tcBorders>
              <w:top w:val="single" w:color="D0D5E8" w:sz="1"/>
              <w:left w:val="single" w:color="D0D5E8" w:sz="1"/>
              <w:bottom w:val="single" w:color="D0D5E8" w:sz="1"/>
              <w:right w:val="single" w:color="D0D5E8" w:sz="1"/>
            </w:tcBorders>
            <w:shd w:fill="FFFFFF" w:val="clear"/>
            <w:tcMar>
              <w:top w:type="dxa" w:w="70"/>
              <w:left w:type="dxa" w:w="80"/>
              <w:bottom w:type="dxa" w:w="70"/>
              <w:right w:type="dxa" w:w="80"/>
            </w:tcMar>
          </w:tcPr>
          <w:p>
            <w:pPr>
              <w:jc w:val="center"/>
            </w:pPr>
            <w:r>
              <w:rPr>
                <w:rFonts w:ascii="Arial" w:cs="Arial" w:eastAsia="Arial" w:hAnsi="Arial"/>
                <w:b/>
                <w:bCs/>
                <w:color w:val="1B4EDB"/>
                <w:sz w:val="19"/>
                <w:szCs w:val="19"/>
              </w:rPr>
              <w:t xml:space="preserve">7</w:t>
            </w:r>
          </w:p>
        </w:tc>
        <w:tc>
          <w:tcPr>
            <w:tcW w:type="dxa" w:w="528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Admin dashboard</w:t>
            </w:r>
          </w:p>
        </w:tc>
        <w:tc>
          <w:tcPr>
            <w:tcW w:type="dxa" w:w="3600"/>
            <w:tcBorders>
              <w:top w:val="single" w:color="D0D5E8" w:sz="1"/>
              <w:left w:val="single" w:color="D0D5E8" w:sz="1"/>
              <w:bottom w:val="single" w:color="D0D5E8" w:sz="1"/>
              <w:right w:val="single" w:color="D0D5E8" w:sz="1"/>
            </w:tcBorders>
            <w:shd w:fill="FFFFFF" w:val="clear"/>
            <w:tcMar>
              <w:top w:type="dxa" w:w="70"/>
              <w:left w:type="dxa" w:w="120"/>
              <w:bottom w:type="dxa" w:w="70"/>
              <w:right w:type="dxa" w:w="120"/>
            </w:tcMar>
          </w:tcPr>
          <w:p>
            <w:r>
              <w:rPr>
                <w:rFonts w:ascii="Arial" w:cs="Arial" w:eastAsia="Arial" w:hAnsi="Arial"/>
                <w:color w:val="6B7280"/>
                <w:sz w:val="19"/>
                <w:szCs w:val="19"/>
              </w:rPr>
              <w:t xml:space="preserve">Job moderation, user management, platform metrics. Admin flag already exists on profiles.</w:t>
            </w:r>
          </w:p>
        </w:tc>
      </w:tr>
      <w:tr>
        <w:tc>
          <w:tcPr>
            <w:tcW w:type="dxa" w:w="480"/>
            <w:tcBorders>
              <w:top w:val="single" w:color="D0D5E8" w:sz="1"/>
              <w:left w:val="single" w:color="D0D5E8" w:sz="1"/>
              <w:bottom w:val="single" w:color="D0D5E8" w:sz="1"/>
              <w:right w:val="single" w:color="D0D5E8" w:sz="1"/>
            </w:tcBorders>
            <w:shd w:fill="F5F6FA" w:val="clear"/>
            <w:tcMar>
              <w:top w:type="dxa" w:w="70"/>
              <w:left w:type="dxa" w:w="80"/>
              <w:bottom w:type="dxa" w:w="70"/>
              <w:right w:type="dxa" w:w="80"/>
            </w:tcMar>
          </w:tcPr>
          <w:p>
            <w:pPr>
              <w:jc w:val="center"/>
            </w:pPr>
            <w:r>
              <w:rPr>
                <w:rFonts w:ascii="Arial" w:cs="Arial" w:eastAsia="Arial" w:hAnsi="Arial"/>
                <w:b/>
                <w:bCs/>
                <w:color w:val="1B4EDB"/>
                <w:sz w:val="19"/>
                <w:szCs w:val="19"/>
              </w:rPr>
              <w:t xml:space="preserve">8</w:t>
            </w:r>
          </w:p>
        </w:tc>
        <w:tc>
          <w:tcPr>
            <w:tcW w:type="dxa" w:w="528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b/>
                <w:bCs/>
                <w:color w:val="1A1A2E"/>
                <w:sz w:val="19"/>
                <w:szCs w:val="19"/>
              </w:rPr>
              <w:t xml:space="preserve">Carrier pilot integration</w:t>
            </w:r>
          </w:p>
        </w:tc>
        <w:tc>
          <w:tcPr>
            <w:tcW w:type="dxa" w:w="3600"/>
            <w:tcBorders>
              <w:top w:val="single" w:color="D0D5E8" w:sz="1"/>
              <w:left w:val="single" w:color="D0D5E8" w:sz="1"/>
              <w:bottom w:val="single" w:color="D0D5E8" w:sz="1"/>
              <w:right w:val="single" w:color="D0D5E8" w:sz="1"/>
            </w:tcBorders>
            <w:shd w:fill="F5F6FA" w:val="clear"/>
            <w:tcMar>
              <w:top w:type="dxa" w:w="70"/>
              <w:left w:type="dxa" w:w="120"/>
              <w:bottom w:type="dxa" w:w="70"/>
              <w:right w:type="dxa" w:w="120"/>
            </w:tcMar>
          </w:tcPr>
          <w:p>
            <w:r>
              <w:rPr>
                <w:rFonts w:ascii="Arial" w:cs="Arial" w:eastAsia="Arial" w:hAnsi="Arial"/>
                <w:color w:val="6B7280"/>
                <w:sz w:val="19"/>
                <w:szCs w:val="19"/>
              </w:rPr>
              <w:t xml:space="preserve">Black-box bordereaux ingest (CSV/XML). Carriers export data in formats they already produce for reinsurers.</w:t>
            </w:r>
          </w:p>
        </w:tc>
      </w:tr>
    </w:tbl>
    <w:p>
      <w:pPr>
        <w:spacing w:after="160" w:before="0"/>
      </w:pPr>
      <w:r>
        <w:t xml:space="preserve"/>
      </w:r>
    </w:p>
    <w:p>
      <w:pPr>
        <w:pBdr>
          <w:bottom w:val="single" w:color="C5D2F0" w:sz="4" w:space="1"/>
        </w:pBdr>
        <w:spacing w:after="160" w:before="160"/>
      </w:pPr>
      <w:r>
        <w:t xml:space="preserve"/>
      </w:r>
    </w:p>
    <w:p>
      <w:pPr>
        <w:spacing w:after="80" w:before="0"/>
      </w:pPr>
      <w:r>
        <w:t xml:space="preserve"/>
      </w:r>
    </w:p>
    <w:p>
      <w:pPr>
        <w:spacing w:after="80" w:before="160"/>
        <w:jc w:val="center"/>
      </w:pPr>
      <w:r>
        <w:rPr>
          <w:rFonts w:ascii="Arial" w:cs="Arial" w:eastAsia="Arial" w:hAnsi="Arial"/>
          <w:b/>
          <w:bCs/>
          <w:color w:val="0D1F3D"/>
          <w:sz w:val="20"/>
          <w:szCs w:val="20"/>
        </w:rPr>
        <w:t xml:space="preserve">DUG — Decentralized Underwriting Group</w:t>
      </w:r>
    </w:p>
    <w:p>
      <w:pPr>
        <w:jc w:val="center"/>
      </w:pPr>
      <w:r>
        <w:rPr>
          <w:rFonts w:ascii="Arial" w:cs="Arial" w:eastAsia="Arial" w:hAnsi="Arial"/>
          <w:color w:val="6B7280"/>
          <w:sz w:val="18"/>
          <w:szCs w:val="18"/>
        </w:rPr>
        <w:t xml:space="preserve">MVP Scaffolding Brief • May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2F0" w:sz="4" w:space="1"/>
      </w:pBdr>
      <w:tabs>
        <w:tab w:val="right" w:pos="9360"/>
      </w:tabs>
      <w:spacing w:before="120"/>
    </w:pPr>
    <w:r>
      <w:rPr>
        <w:rFonts w:ascii="Arial" w:cs="Arial" w:eastAsia="Arial" w:hAnsi="Arial"/>
        <w:color w:val="6B7280"/>
        <w:sz w:val="17"/>
        <w:szCs w:val="17"/>
      </w:rPr>
      <w:t xml:space="preserve">Confidential • May 2026</w:t>
    </w:r>
    <w:r>
      <w:rPr>
        <w:rFonts w:ascii="Arial" w:cs="Arial" w:eastAsia="Arial" w:hAnsi="Arial"/>
        <w:color w:val="6B7280"/>
        <w:sz w:val="17"/>
        <w:szCs w:val="17"/>
      </w:rPr>
      <w:t xml:space="preserve">	Page </w:t>
    </w:r>
    <w:r>
      <w:rPr>
        <w:rFonts w:ascii="Arial" w:cs="Arial" w:eastAsia="Arial" w:hAnsi="Arial"/>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2F0" w:sz="4" w:space="1"/>
      </w:pBdr>
      <w:tabs>
        <w:tab w:val="right" w:pos="9360"/>
      </w:tabs>
      <w:spacing w:after="120"/>
    </w:pPr>
    <w:r>
      <w:rPr>
        <w:rFonts w:ascii="Arial" w:cs="Arial" w:eastAsia="Arial" w:hAnsi="Arial"/>
        <w:color w:val="6B7280"/>
        <w:sz w:val="18"/>
        <w:szCs w:val="18"/>
      </w:rPr>
      <w:t xml:space="preserve">DUG — Decentralized Underwriting Group</w:t>
    </w:r>
    <w:r>
      <w:rPr>
        <w:rFonts w:ascii="Arial" w:cs="Arial" w:eastAsia="Arial" w:hAnsi="Arial"/>
        <w:color w:val="6B7280"/>
        <w:sz w:val="18"/>
        <w:szCs w:val="18"/>
      </w:rPr>
      <w:t xml:space="preserve">	MVP Scaffolding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1F3D"/>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4E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wvrsuf52gq9lignfzduw" Type="http://schemas.openxmlformats.org/officeDocument/2006/relationships/hyperlink" Target="https://decentralizedunderwritinggroup.netlify.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2026-05-01T18:34:25.779Z</dcterms:created>
  <dcterms:modified xsi:type="dcterms:W3CDTF">2026-05-01T18:34:25.779Z</dcterms:modified>
</cp:coreProperties>
</file>

<file path=docProps/custom.xml><?xml version="1.0" encoding="utf-8"?>
<Properties xmlns="http://schemas.openxmlformats.org/officeDocument/2006/custom-properties" xmlns:vt="http://schemas.openxmlformats.org/officeDocument/2006/docPropsVTypes"/>
</file>